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3F547" w14:textId="77777777" w:rsidR="001C07E2" w:rsidRPr="000F5A44" w:rsidRDefault="001C07E2" w:rsidP="001C07E2">
      <w:pPr>
        <w:pStyle w:val="ListParagraph"/>
        <w:numPr>
          <w:ilvl w:val="0"/>
          <w:numId w:val="2"/>
        </w:numPr>
        <w:ind w:right="1134"/>
        <w:contextualSpacing w:val="0"/>
        <w:jc w:val="both"/>
        <w:rPr>
          <w:b/>
          <w:bCs/>
        </w:rPr>
      </w:pPr>
      <w:r w:rsidRPr="000F5A44">
        <w:rPr>
          <w:b/>
          <w:bCs/>
        </w:rPr>
        <w:t xml:space="preserve">Introduction </w:t>
      </w:r>
    </w:p>
    <w:p w14:paraId="1065AAD8" w14:textId="77777777" w:rsidR="001C07E2" w:rsidRPr="000F5A44" w:rsidRDefault="001C07E2" w:rsidP="001C07E2">
      <w:pPr>
        <w:ind w:left="1134" w:right="1134"/>
        <w:jc w:val="both"/>
      </w:pPr>
    </w:p>
    <w:p w14:paraId="2757D24C" w14:textId="77777777" w:rsidR="001C07E2" w:rsidRPr="000F5A44" w:rsidRDefault="001C07E2" w:rsidP="001C07E2">
      <w:pPr>
        <w:pStyle w:val="Bullets"/>
        <w:numPr>
          <w:ilvl w:val="0"/>
          <w:numId w:val="0"/>
        </w:numPr>
        <w:ind w:left="1134" w:right="1134"/>
        <w:jc w:val="both"/>
      </w:pPr>
      <w:r w:rsidRPr="000F5A44">
        <w:t>Towards the end of 2021, Age UK polled older people to better understand the impact that the cost of living crisis would have on them, with 23% of the most disadvantaged older people telling us they felt the increases in costs would have a severe impact. Specifically, concerns surrounded</w:t>
      </w:r>
      <w:r>
        <w:t xml:space="preserve"> being able to pay</w:t>
      </w:r>
      <w:r w:rsidRPr="000F5A44">
        <w:t xml:space="preserve"> for essential items and household bills and as a result being pushed into debt, living in cold houses, eating less and cutting back on social activities with friends and family to survive. </w:t>
      </w:r>
    </w:p>
    <w:p w14:paraId="6F2B7F6E" w14:textId="77777777" w:rsidR="001C07E2" w:rsidRPr="000F5A44" w:rsidRDefault="001C07E2" w:rsidP="001C07E2">
      <w:pPr>
        <w:pStyle w:val="Bullets"/>
        <w:numPr>
          <w:ilvl w:val="0"/>
          <w:numId w:val="0"/>
        </w:numPr>
        <w:ind w:left="1134" w:right="1134"/>
        <w:jc w:val="both"/>
      </w:pPr>
    </w:p>
    <w:p w14:paraId="72C48649" w14:textId="77777777" w:rsidR="001C07E2" w:rsidRPr="000F5A44" w:rsidRDefault="001C07E2" w:rsidP="001C07E2">
      <w:pPr>
        <w:pStyle w:val="Bullets"/>
        <w:numPr>
          <w:ilvl w:val="0"/>
          <w:numId w:val="0"/>
        </w:numPr>
        <w:ind w:left="1134" w:right="1134"/>
        <w:jc w:val="both"/>
      </w:pPr>
      <w:r w:rsidRPr="000F5A44">
        <w:t>To support Local and National Partners in sustaining and extending the reach of their vital service provision during this cost of living crisis, in December 2022, Age UK launched a Cost of Living Response Fund Programme. £5 million was awarded to all 126</w:t>
      </w:r>
      <w:r>
        <w:t>,</w:t>
      </w:r>
      <w:r w:rsidRPr="000F5A44">
        <w:t xml:space="preserve"> out of a possible 132</w:t>
      </w:r>
      <w:r>
        <w:t>,</w:t>
      </w:r>
      <w:r w:rsidRPr="000F5A44">
        <w:t xml:space="preserve"> Partners that applied for the fund, which equates to 95% of the Network. Partners applied for a maximum of £40,000 to support with up to five types of intervention: Information &amp; Advice</w:t>
      </w:r>
      <w:r>
        <w:t xml:space="preserve">, </w:t>
      </w:r>
      <w:r w:rsidRPr="000F5A44">
        <w:t>Home Support</w:t>
      </w:r>
      <w:r>
        <w:t>,</w:t>
      </w:r>
      <w:r w:rsidRPr="000F5A44">
        <w:t xml:space="preserve"> Meal Provision, increasing access to Social Support/Physical Activity, increasing access to Day Centres. There is a breakdown of how the funding was used across these interventions below. </w:t>
      </w:r>
    </w:p>
    <w:p w14:paraId="78608AF0" w14:textId="77777777" w:rsidR="001C07E2" w:rsidRPr="000F5A44" w:rsidRDefault="001C07E2" w:rsidP="001C07E2">
      <w:pPr>
        <w:ind w:left="0" w:right="1134"/>
        <w:jc w:val="both"/>
      </w:pPr>
    </w:p>
    <w:p w14:paraId="2ABF1319" w14:textId="77777777" w:rsidR="001C07E2" w:rsidRPr="000F5A44" w:rsidRDefault="001C07E2" w:rsidP="001C07E2">
      <w:pPr>
        <w:pStyle w:val="Bullets"/>
        <w:numPr>
          <w:ilvl w:val="0"/>
          <w:numId w:val="0"/>
        </w:numPr>
        <w:ind w:left="1134" w:right="1134"/>
        <w:jc w:val="both"/>
      </w:pPr>
    </w:p>
    <w:p w14:paraId="7F4C6DEF" w14:textId="77777777" w:rsidR="001C07E2" w:rsidRPr="000F5A44" w:rsidRDefault="001C07E2" w:rsidP="001C07E2">
      <w:pPr>
        <w:pStyle w:val="Bullets"/>
        <w:numPr>
          <w:ilvl w:val="0"/>
          <w:numId w:val="2"/>
        </w:numPr>
        <w:ind w:right="1134"/>
        <w:jc w:val="both"/>
        <w:rPr>
          <w:b/>
          <w:bCs/>
        </w:rPr>
      </w:pPr>
      <w:r w:rsidRPr="000F5A44">
        <w:rPr>
          <w:b/>
          <w:bCs/>
        </w:rPr>
        <w:t>Key findings</w:t>
      </w:r>
    </w:p>
    <w:p w14:paraId="32227172" w14:textId="77777777" w:rsidR="001C07E2" w:rsidRPr="000F5A44" w:rsidRDefault="001C07E2" w:rsidP="001C07E2">
      <w:pPr>
        <w:pStyle w:val="Bullets"/>
        <w:numPr>
          <w:ilvl w:val="0"/>
          <w:numId w:val="0"/>
        </w:numPr>
        <w:ind w:left="1134" w:right="1134"/>
        <w:jc w:val="both"/>
      </w:pPr>
    </w:p>
    <w:p w14:paraId="6E66F38F" w14:textId="77777777" w:rsidR="001C07E2" w:rsidRPr="000F5A44" w:rsidRDefault="001C07E2" w:rsidP="001C07E2">
      <w:pPr>
        <w:pStyle w:val="Bullets"/>
        <w:numPr>
          <w:ilvl w:val="1"/>
          <w:numId w:val="4"/>
        </w:numPr>
        <w:ind w:right="1134"/>
        <w:jc w:val="both"/>
      </w:pPr>
      <w:r w:rsidRPr="000F5A44">
        <w:t xml:space="preserve">Across the year from March 2023-March 2024, this Programme has directly supported </w:t>
      </w:r>
      <w:r w:rsidRPr="000F5A44">
        <w:rPr>
          <w:u w:val="single"/>
        </w:rPr>
        <w:t>94,912</w:t>
      </w:r>
      <w:r w:rsidRPr="000F5A44">
        <w:t xml:space="preserve"> older people</w:t>
      </w:r>
      <w:r w:rsidRPr="000F5A44">
        <w:rPr>
          <w:rStyle w:val="FootnoteReference"/>
        </w:rPr>
        <w:footnoteReference w:id="1"/>
      </w:r>
      <w:r w:rsidRPr="000F5A44">
        <w:t xml:space="preserve"> across </w:t>
      </w:r>
      <w:r w:rsidRPr="000F5A44">
        <w:rPr>
          <w:u w:val="single"/>
        </w:rPr>
        <w:t>405,986</w:t>
      </w:r>
      <w:r w:rsidRPr="000F5A44">
        <w:t xml:space="preserve"> interactions within the five intervention areas.  </w:t>
      </w:r>
    </w:p>
    <w:p w14:paraId="7E9AAA49" w14:textId="77777777" w:rsidR="001C07E2" w:rsidRPr="000F5A44" w:rsidRDefault="001C07E2" w:rsidP="001C07E2">
      <w:pPr>
        <w:pStyle w:val="Bullets"/>
        <w:numPr>
          <w:ilvl w:val="0"/>
          <w:numId w:val="0"/>
        </w:numPr>
        <w:ind w:left="1352" w:right="1134"/>
        <w:jc w:val="both"/>
      </w:pPr>
    </w:p>
    <w:p w14:paraId="0E839DBF" w14:textId="77777777" w:rsidR="001C07E2" w:rsidRPr="000F5A44" w:rsidRDefault="001C07E2" w:rsidP="001C07E2">
      <w:pPr>
        <w:pStyle w:val="Bullets"/>
        <w:numPr>
          <w:ilvl w:val="1"/>
          <w:numId w:val="4"/>
        </w:numPr>
        <w:ind w:right="1134"/>
        <w:jc w:val="both"/>
      </w:pPr>
      <w:r w:rsidRPr="000F5A44">
        <w:rPr>
          <w:u w:val="single"/>
        </w:rPr>
        <w:t>10,141</w:t>
      </w:r>
      <w:r w:rsidRPr="000F5A44">
        <w:t xml:space="preserve"> people were supported to identify and apply for</w:t>
      </w:r>
      <w:r>
        <w:t xml:space="preserve"> all</w:t>
      </w:r>
      <w:r w:rsidRPr="000F5A44">
        <w:t xml:space="preserve"> the benefits they are entitled to. This support has led to </w:t>
      </w:r>
      <w:r w:rsidRPr="000F5A44">
        <w:rPr>
          <w:u w:val="single"/>
        </w:rPr>
        <w:t>£848,105.25</w:t>
      </w:r>
      <w:r w:rsidRPr="000F5A44">
        <w:t xml:space="preserve"> of weekly benefits being</w:t>
      </w:r>
      <w:r>
        <w:t xml:space="preserve"> identified</w:t>
      </w:r>
      <w:r w:rsidRPr="000F5A44">
        <w:t>, annual benefit</w:t>
      </w:r>
      <w:r>
        <w:t>s identified totalled</w:t>
      </w:r>
      <w:r w:rsidRPr="000F5A44">
        <w:t xml:space="preserve"> </w:t>
      </w:r>
      <w:r w:rsidRPr="000F5A44">
        <w:rPr>
          <w:u w:val="single"/>
        </w:rPr>
        <w:t>£37,237,654.07.</w:t>
      </w:r>
    </w:p>
    <w:p w14:paraId="6A47592A" w14:textId="77777777" w:rsidR="001C07E2" w:rsidRPr="000F5A44" w:rsidRDefault="001C07E2" w:rsidP="001C07E2">
      <w:pPr>
        <w:pStyle w:val="Bullets"/>
        <w:numPr>
          <w:ilvl w:val="0"/>
          <w:numId w:val="0"/>
        </w:numPr>
        <w:ind w:right="1134"/>
        <w:jc w:val="both"/>
      </w:pPr>
    </w:p>
    <w:p w14:paraId="4E34839D" w14:textId="77777777" w:rsidR="001C07E2" w:rsidRPr="000F5A44" w:rsidRDefault="001C07E2" w:rsidP="001C07E2">
      <w:pPr>
        <w:pStyle w:val="Bullets"/>
        <w:numPr>
          <w:ilvl w:val="1"/>
          <w:numId w:val="4"/>
        </w:numPr>
        <w:ind w:right="1134"/>
        <w:jc w:val="both"/>
      </w:pPr>
      <w:r w:rsidRPr="000F5A44">
        <w:t>Most Partners applied for funding to support their Information and Advice (I&amp;A) services (54/122). This suggests there is a need for more funding for this type of service in comparison to the other intervention areas. Feedback from Partners support this, identifying more complex cases and longer waiting lists as current challenges in supporting older people with accessing their benefit entitlements a</w:t>
      </w:r>
      <w:r>
        <w:t>s well as</w:t>
      </w:r>
      <w:r w:rsidRPr="000F5A44">
        <w:t xml:space="preserve"> providing other support through I&amp;A services.</w:t>
      </w:r>
    </w:p>
    <w:p w14:paraId="4FA9F254" w14:textId="77777777" w:rsidR="001C07E2" w:rsidRPr="000F5A44" w:rsidRDefault="001C07E2" w:rsidP="001C07E2">
      <w:pPr>
        <w:pStyle w:val="Bullets"/>
        <w:numPr>
          <w:ilvl w:val="0"/>
          <w:numId w:val="0"/>
        </w:numPr>
        <w:ind w:right="1134"/>
        <w:jc w:val="both"/>
      </w:pPr>
    </w:p>
    <w:p w14:paraId="45C2679E" w14:textId="77777777" w:rsidR="001C07E2" w:rsidRDefault="001C07E2" w:rsidP="001C07E2">
      <w:pPr>
        <w:pStyle w:val="Bullets"/>
        <w:numPr>
          <w:ilvl w:val="1"/>
          <w:numId w:val="4"/>
        </w:numPr>
        <w:ind w:right="1134"/>
        <w:jc w:val="both"/>
      </w:pPr>
      <w:r w:rsidRPr="000F5A44">
        <w:t>Most clients accessed Attendance Allowance (</w:t>
      </w:r>
      <w:r w:rsidRPr="000F5A44">
        <w:rPr>
          <w:u w:val="single"/>
        </w:rPr>
        <w:t>61%)</w:t>
      </w:r>
      <w:r w:rsidRPr="000F5A44">
        <w:t xml:space="preserve"> claiming an average weekly amount of </w:t>
      </w:r>
      <w:r w:rsidRPr="000F5A44">
        <w:rPr>
          <w:u w:val="single"/>
        </w:rPr>
        <w:t>£90</w:t>
      </w:r>
      <w:r w:rsidRPr="000F5A44">
        <w:t>.</w:t>
      </w:r>
      <w:r>
        <w:t xml:space="preserve"> However, this funding also allowed Partners to focus on supporting older people to claim benefit types</w:t>
      </w:r>
      <w:r w:rsidRPr="000F5A44">
        <w:t xml:space="preserve"> such as Pension Credit and Council Tax which are less covered through other funding streams. These benefits are means tested and aim to support those who need it most.</w:t>
      </w:r>
      <w:r>
        <w:t xml:space="preserve"> </w:t>
      </w:r>
      <w:r w:rsidRPr="000F5A44">
        <w:t xml:space="preserve">   </w:t>
      </w:r>
    </w:p>
    <w:p w14:paraId="4E0DEFD7" w14:textId="77777777" w:rsidR="001C07E2" w:rsidRDefault="001C07E2" w:rsidP="001C07E2">
      <w:pPr>
        <w:pStyle w:val="ListParagraph"/>
      </w:pPr>
    </w:p>
    <w:p w14:paraId="07B6E3F9" w14:textId="77777777" w:rsidR="001C07E2" w:rsidRDefault="001C07E2" w:rsidP="001C07E2">
      <w:pPr>
        <w:pStyle w:val="Bullets"/>
        <w:numPr>
          <w:ilvl w:val="0"/>
          <w:numId w:val="0"/>
        </w:numPr>
        <w:ind w:left="1352" w:right="1134"/>
        <w:jc w:val="both"/>
      </w:pPr>
    </w:p>
    <w:p w14:paraId="0E548B45" w14:textId="77777777" w:rsidR="001C07E2" w:rsidRDefault="001C07E2" w:rsidP="001C07E2">
      <w:pPr>
        <w:pStyle w:val="ListParagraph"/>
        <w:rPr>
          <w:i/>
          <w:iCs/>
        </w:rPr>
      </w:pPr>
    </w:p>
    <w:p w14:paraId="5C6F984D" w14:textId="77777777" w:rsidR="001C07E2" w:rsidRPr="00714A03" w:rsidRDefault="001C07E2" w:rsidP="001C07E2">
      <w:pPr>
        <w:pStyle w:val="Bullets"/>
        <w:numPr>
          <w:ilvl w:val="1"/>
          <w:numId w:val="4"/>
        </w:numPr>
        <w:ind w:right="1134"/>
        <w:jc w:val="both"/>
      </w:pPr>
      <w:r>
        <w:t xml:space="preserve">Data shows that </w:t>
      </w:r>
      <w:r w:rsidRPr="00714A03">
        <w:t xml:space="preserve">clients supported by </w:t>
      </w:r>
      <w:r>
        <w:t xml:space="preserve">the </w:t>
      </w:r>
      <w:r w:rsidRPr="00714A03">
        <w:t>funding</w:t>
      </w:r>
      <w:r>
        <w:t xml:space="preserve"> in more deprived areas</w:t>
      </w:r>
      <w:r w:rsidRPr="00714A03">
        <w:t xml:space="preserve">, identified a higher weekly benefit amount than those in more affluent areas. Despite this </w:t>
      </w:r>
      <w:r w:rsidRPr="00714A03">
        <w:rPr>
          <w:rFonts w:eastAsia="Calibri"/>
          <w:kern w:val="2"/>
          <w:lang w:eastAsia="en-US"/>
          <w14:ligatures w14:val="standardContextual"/>
        </w:rPr>
        <w:t>there is a higher percentage of people claiming benefits in more affluent areas</w:t>
      </w:r>
      <w:r>
        <w:rPr>
          <w:rFonts w:eastAsia="Calibri"/>
          <w:kern w:val="2"/>
          <w:lang w:eastAsia="en-US"/>
          <w14:ligatures w14:val="standardContextual"/>
        </w:rPr>
        <w:t xml:space="preserve">. </w:t>
      </w:r>
      <w:r w:rsidRPr="00714A03">
        <w:rPr>
          <w:rFonts w:eastAsia="Calibri"/>
          <w:kern w:val="2"/>
          <w:lang w:eastAsia="en-US"/>
          <w14:ligatures w14:val="standardContextual"/>
        </w:rPr>
        <w:t xml:space="preserve"> </w:t>
      </w:r>
      <w:r>
        <w:rPr>
          <w:rFonts w:eastAsia="Calibri"/>
          <w:kern w:val="2"/>
          <w:lang w:eastAsia="en-US"/>
          <w14:ligatures w14:val="standardContextual"/>
        </w:rPr>
        <w:t>This</w:t>
      </w:r>
      <w:r w:rsidRPr="00714A03">
        <w:rPr>
          <w:rFonts w:eastAsia="Calibri"/>
          <w:kern w:val="2"/>
          <w:lang w:eastAsia="en-US"/>
          <w14:ligatures w14:val="standardContextual"/>
        </w:rPr>
        <w:t xml:space="preserve"> suggests that while people in more deprived areas may be entitled to more, they may not be claiming all they are entitled to</w:t>
      </w:r>
      <w:r>
        <w:rPr>
          <w:rFonts w:eastAsia="Calibri"/>
          <w:kern w:val="2"/>
          <w:lang w:eastAsia="en-US"/>
          <w14:ligatures w14:val="standardContextual"/>
        </w:rPr>
        <w:t>.</w:t>
      </w:r>
    </w:p>
    <w:p w14:paraId="4032B1B1" w14:textId="77777777" w:rsidR="001C07E2" w:rsidRPr="000F5A44" w:rsidRDefault="001C07E2" w:rsidP="001C07E2">
      <w:pPr>
        <w:pStyle w:val="Bullets"/>
        <w:numPr>
          <w:ilvl w:val="0"/>
          <w:numId w:val="0"/>
        </w:numPr>
        <w:ind w:right="1134"/>
        <w:jc w:val="both"/>
        <w:rPr>
          <w:i/>
          <w:iCs/>
        </w:rPr>
      </w:pPr>
    </w:p>
    <w:p w14:paraId="73D7A678" w14:textId="77777777" w:rsidR="001C07E2" w:rsidRPr="000F5A44" w:rsidRDefault="001C07E2" w:rsidP="001C07E2">
      <w:pPr>
        <w:pStyle w:val="Bullets"/>
        <w:numPr>
          <w:ilvl w:val="1"/>
          <w:numId w:val="4"/>
        </w:numPr>
        <w:ind w:right="1134"/>
        <w:jc w:val="both"/>
      </w:pPr>
      <w:r w:rsidRPr="002249C3">
        <w:rPr>
          <w:rFonts w:eastAsia="Calibri"/>
          <w:u w:val="single"/>
        </w:rPr>
        <w:t>8,467</w:t>
      </w:r>
      <w:r w:rsidRPr="002249C3">
        <w:rPr>
          <w:rFonts w:eastAsia="Calibri"/>
        </w:rPr>
        <w:t xml:space="preserve"> people have received Home Support services such as cleaning, shopping, and gardening, assisting individuals to stay safe and independent in their homes</w:t>
      </w:r>
      <w:r w:rsidRPr="000F5A44">
        <w:t>.</w:t>
      </w:r>
      <w:r w:rsidRPr="000F5A44">
        <w:rPr>
          <w:rFonts w:eastAsia="Calibri"/>
        </w:rPr>
        <w:t xml:space="preserve"> </w:t>
      </w:r>
      <w:r w:rsidRPr="002249C3">
        <w:rPr>
          <w:rFonts w:eastAsia="Calibri"/>
        </w:rPr>
        <w:t xml:space="preserve">This equates to </w:t>
      </w:r>
      <w:r w:rsidRPr="002249C3">
        <w:rPr>
          <w:rFonts w:eastAsia="Calibri"/>
          <w:u w:val="single"/>
        </w:rPr>
        <w:t>74,724</w:t>
      </w:r>
      <w:r w:rsidRPr="002249C3">
        <w:rPr>
          <w:rFonts w:eastAsia="Calibri"/>
        </w:rPr>
        <w:t xml:space="preserve"> hours of support delivered either at reduced or a completely subsidised cost.</w:t>
      </w:r>
    </w:p>
    <w:p w14:paraId="331A3B43" w14:textId="77777777" w:rsidR="001C07E2" w:rsidRPr="000F5A44" w:rsidRDefault="001C07E2" w:rsidP="001C07E2">
      <w:pPr>
        <w:pStyle w:val="Bullets"/>
        <w:numPr>
          <w:ilvl w:val="0"/>
          <w:numId w:val="0"/>
        </w:numPr>
        <w:ind w:left="1134" w:right="1134" w:hanging="567"/>
        <w:jc w:val="both"/>
      </w:pPr>
    </w:p>
    <w:p w14:paraId="106041F3" w14:textId="77777777" w:rsidR="001C07E2" w:rsidRPr="000F5A44" w:rsidRDefault="001C07E2" w:rsidP="001C07E2">
      <w:pPr>
        <w:pStyle w:val="Bullets"/>
        <w:numPr>
          <w:ilvl w:val="1"/>
          <w:numId w:val="4"/>
        </w:numPr>
        <w:ind w:right="1134"/>
        <w:jc w:val="both"/>
      </w:pPr>
      <w:r w:rsidRPr="002249C3">
        <w:rPr>
          <w:rFonts w:eastAsia="Calibri"/>
          <w:u w:val="single"/>
        </w:rPr>
        <w:t>57,</w:t>
      </w:r>
      <w:r>
        <w:rPr>
          <w:rFonts w:eastAsia="Calibri"/>
          <w:u w:val="single"/>
        </w:rPr>
        <w:t>767</w:t>
      </w:r>
      <w:r w:rsidRPr="002249C3">
        <w:rPr>
          <w:rFonts w:eastAsia="Calibri"/>
        </w:rPr>
        <w:t xml:space="preserve"> meals were delivered to </w:t>
      </w:r>
      <w:r w:rsidRPr="002249C3">
        <w:rPr>
          <w:rFonts w:eastAsia="Calibri"/>
          <w:u w:val="single"/>
        </w:rPr>
        <w:t>3,098</w:t>
      </w:r>
      <w:r w:rsidRPr="002249C3">
        <w:rPr>
          <w:rFonts w:eastAsia="Calibri"/>
        </w:rPr>
        <w:t xml:space="preserve"> older people </w:t>
      </w:r>
      <w:r w:rsidRPr="000F5A44">
        <w:rPr>
          <w:rFonts w:eastAsia="Calibri"/>
        </w:rPr>
        <w:t>across</w:t>
      </w:r>
      <w:r w:rsidRPr="002249C3">
        <w:rPr>
          <w:rFonts w:eastAsia="Calibri"/>
        </w:rPr>
        <w:t xml:space="preserve"> the Programme, supporting people to have access to hot and nutritious meals. </w:t>
      </w:r>
      <w:r w:rsidRPr="000F5A44">
        <w:rPr>
          <w:rFonts w:eastAsia="Calibri"/>
        </w:rPr>
        <w:t xml:space="preserve">In comparison to the other intervention areas, meals were delivered to more older adults in the most deprived areas at </w:t>
      </w:r>
      <w:r w:rsidRPr="000F5A44">
        <w:rPr>
          <w:rFonts w:eastAsia="Calibri"/>
          <w:u w:val="single"/>
        </w:rPr>
        <w:t>61.27%</w:t>
      </w:r>
      <w:r w:rsidRPr="000F5A44">
        <w:rPr>
          <w:rFonts w:eastAsia="Calibri"/>
        </w:rPr>
        <w:t xml:space="preserve"> of older adults </w:t>
      </w:r>
      <w:r>
        <w:rPr>
          <w:rFonts w:eastAsia="Calibri"/>
        </w:rPr>
        <w:t xml:space="preserve">who were supported, </w:t>
      </w:r>
      <w:r w:rsidRPr="000F5A44">
        <w:rPr>
          <w:rFonts w:eastAsia="Calibri"/>
        </w:rPr>
        <w:t xml:space="preserve">residing in the </w:t>
      </w:r>
      <w:r w:rsidRPr="000F5A44">
        <w:rPr>
          <w:rFonts w:eastAsia="Calibri"/>
          <w:u w:val="single"/>
        </w:rPr>
        <w:t>50%</w:t>
      </w:r>
      <w:r w:rsidRPr="000F5A44">
        <w:rPr>
          <w:rFonts w:eastAsia="Calibri"/>
        </w:rPr>
        <w:t xml:space="preserve"> most deprived areas and </w:t>
      </w:r>
      <w:r w:rsidRPr="002249C3">
        <w:rPr>
          <w:rFonts w:eastAsia="Calibri"/>
          <w:kern w:val="2"/>
          <w:u w:val="single"/>
          <w:lang w:eastAsia="en-US"/>
          <w14:ligatures w14:val="standardContextual"/>
        </w:rPr>
        <w:t>35.06</w:t>
      </w:r>
      <w:r w:rsidRPr="000F5A44">
        <w:rPr>
          <w:rFonts w:eastAsia="Calibri"/>
          <w:kern w:val="2"/>
          <w:u w:val="single"/>
          <w:lang w:eastAsia="en-US"/>
          <w14:ligatures w14:val="standardContextual"/>
        </w:rPr>
        <w:t xml:space="preserve">% </w:t>
      </w:r>
      <w:r w:rsidRPr="000F5A44">
        <w:rPr>
          <w:rFonts w:eastAsia="Calibri"/>
          <w:kern w:val="2"/>
          <w:lang w:eastAsia="en-US"/>
          <w14:ligatures w14:val="standardContextual"/>
        </w:rPr>
        <w:t xml:space="preserve">residing </w:t>
      </w:r>
      <w:r w:rsidRPr="000F5A44">
        <w:rPr>
          <w:rFonts w:eastAsia="Calibri"/>
        </w:rPr>
        <w:t xml:space="preserve">in the </w:t>
      </w:r>
      <w:r w:rsidRPr="000F5A44">
        <w:rPr>
          <w:rFonts w:eastAsia="Calibri"/>
          <w:u w:val="single"/>
        </w:rPr>
        <w:t>30%</w:t>
      </w:r>
      <w:r w:rsidRPr="000F5A44">
        <w:rPr>
          <w:rFonts w:eastAsia="Calibri"/>
        </w:rPr>
        <w:t xml:space="preserve"> most deprived areas of the country.  </w:t>
      </w:r>
    </w:p>
    <w:p w14:paraId="57CEBB20" w14:textId="77777777" w:rsidR="001C07E2" w:rsidRPr="000F5A44" w:rsidRDefault="001C07E2" w:rsidP="001C07E2">
      <w:pPr>
        <w:pStyle w:val="ListParagraph"/>
        <w:jc w:val="both"/>
      </w:pPr>
    </w:p>
    <w:p w14:paraId="30EDAF24" w14:textId="77777777" w:rsidR="001C07E2" w:rsidRPr="000F5A44" w:rsidRDefault="001C07E2" w:rsidP="001C07E2">
      <w:pPr>
        <w:pStyle w:val="Bullets"/>
        <w:numPr>
          <w:ilvl w:val="1"/>
          <w:numId w:val="4"/>
        </w:numPr>
        <w:ind w:right="1134"/>
        <w:jc w:val="both"/>
      </w:pPr>
      <w:r w:rsidRPr="000F5A44">
        <w:t xml:space="preserve">Network Partners have supported </w:t>
      </w:r>
      <w:r w:rsidRPr="000F5A44">
        <w:rPr>
          <w:u w:val="single"/>
        </w:rPr>
        <w:t>20,189</w:t>
      </w:r>
      <w:r w:rsidRPr="000F5A44">
        <w:t xml:space="preserve"> older people to take part in </w:t>
      </w:r>
      <w:r w:rsidRPr="000F5A44">
        <w:rPr>
          <w:u w:val="single"/>
        </w:rPr>
        <w:t>102,031</w:t>
      </w:r>
      <w:r w:rsidRPr="000F5A44">
        <w:t xml:space="preserve"> hours of Physical and Social Activity. Just a few examples of services being delivered are ‘Music in the park’, coffee mornings, community helpers, befriending, art on zoom, seated exercise, and sensory stimulation/gentle movement.  </w:t>
      </w:r>
    </w:p>
    <w:p w14:paraId="2964BCDD" w14:textId="77777777" w:rsidR="001C07E2" w:rsidRPr="000F5A44" w:rsidRDefault="001C07E2" w:rsidP="001C07E2">
      <w:pPr>
        <w:pStyle w:val="Bullets"/>
        <w:numPr>
          <w:ilvl w:val="0"/>
          <w:numId w:val="0"/>
        </w:numPr>
        <w:ind w:right="1134"/>
        <w:jc w:val="both"/>
      </w:pPr>
    </w:p>
    <w:p w14:paraId="18AE3A63" w14:textId="77777777" w:rsidR="001C07E2" w:rsidRPr="000F5A44" w:rsidRDefault="001C07E2" w:rsidP="001C07E2">
      <w:pPr>
        <w:pStyle w:val="Bullets"/>
        <w:numPr>
          <w:ilvl w:val="1"/>
          <w:numId w:val="4"/>
        </w:numPr>
        <w:ind w:right="1134"/>
        <w:jc w:val="both"/>
      </w:pPr>
      <w:r w:rsidRPr="000F5A44">
        <w:rPr>
          <w:rFonts w:eastAsia="Calibri"/>
          <w:u w:val="single"/>
        </w:rPr>
        <w:t>1</w:t>
      </w:r>
      <w:r w:rsidRPr="002249C3">
        <w:rPr>
          <w:rFonts w:eastAsia="Calibri"/>
          <w:u w:val="single"/>
        </w:rPr>
        <w:t>7,</w:t>
      </w:r>
      <w:r>
        <w:rPr>
          <w:rFonts w:eastAsia="Calibri"/>
          <w:u w:val="single"/>
        </w:rPr>
        <w:t>598</w:t>
      </w:r>
      <w:r w:rsidRPr="002249C3">
        <w:rPr>
          <w:rFonts w:eastAsia="Calibri"/>
        </w:rPr>
        <w:t xml:space="preserve"> older individuals have attended </w:t>
      </w:r>
      <w:r w:rsidRPr="002249C3">
        <w:rPr>
          <w:rFonts w:eastAsia="Calibri"/>
          <w:u w:val="single"/>
        </w:rPr>
        <w:t xml:space="preserve">283,427 </w:t>
      </w:r>
      <w:r w:rsidRPr="002249C3">
        <w:rPr>
          <w:rFonts w:eastAsia="Calibri"/>
        </w:rPr>
        <w:t xml:space="preserve">hours of support at </w:t>
      </w:r>
      <w:r w:rsidRPr="000F5A44">
        <w:rPr>
          <w:rFonts w:eastAsia="Calibri"/>
        </w:rPr>
        <w:t>Day Centre</w:t>
      </w:r>
      <w:r w:rsidRPr="002249C3">
        <w:rPr>
          <w:rFonts w:eastAsia="Calibri"/>
        </w:rPr>
        <w:t xml:space="preserve"> activities such as crafts, digital inclusion, bingo, ‘Knit and </w:t>
      </w:r>
      <w:r w:rsidRPr="000F5A44">
        <w:rPr>
          <w:rFonts w:eastAsia="Calibri"/>
        </w:rPr>
        <w:t>Natter’, choir</w:t>
      </w:r>
      <w:r w:rsidRPr="002249C3">
        <w:rPr>
          <w:rFonts w:eastAsia="Calibri"/>
        </w:rPr>
        <w:t>, lunch clubs, and warm hubs. </w:t>
      </w:r>
      <w:r w:rsidRPr="000F5A44">
        <w:t xml:space="preserve"> </w:t>
      </w:r>
    </w:p>
    <w:p w14:paraId="6F02A21B" w14:textId="77777777" w:rsidR="001C07E2" w:rsidRPr="000F5A44" w:rsidRDefault="001C07E2" w:rsidP="001C07E2">
      <w:pPr>
        <w:pStyle w:val="Bullets"/>
        <w:numPr>
          <w:ilvl w:val="0"/>
          <w:numId w:val="0"/>
        </w:numPr>
        <w:ind w:right="1134"/>
        <w:jc w:val="both"/>
      </w:pPr>
    </w:p>
    <w:p w14:paraId="5311E436" w14:textId="77777777" w:rsidR="001C07E2" w:rsidRPr="000F5A44" w:rsidRDefault="001C07E2" w:rsidP="001C07E2">
      <w:pPr>
        <w:pStyle w:val="Bullets"/>
        <w:numPr>
          <w:ilvl w:val="1"/>
          <w:numId w:val="4"/>
        </w:numPr>
        <w:ind w:right="1134"/>
        <w:jc w:val="both"/>
      </w:pPr>
      <w:r w:rsidRPr="000F5A44">
        <w:t xml:space="preserve">Feedback from Partners highlight their gratitude for this financial support from Age UK National at a time where they were dealing </w:t>
      </w:r>
      <w:r w:rsidRPr="002249C3">
        <w:rPr>
          <w:rFonts w:eastAsia="Calibri"/>
          <w:color w:val="000000"/>
          <w:lang w:eastAsia="en-US"/>
        </w:rPr>
        <w:t>increases in overhead</w:t>
      </w:r>
      <w:r w:rsidRPr="000F5A44">
        <w:t xml:space="preserve"> </w:t>
      </w:r>
      <w:r w:rsidRPr="002249C3">
        <w:rPr>
          <w:rFonts w:eastAsia="Calibri"/>
          <w:color w:val="000000"/>
          <w:lang w:eastAsia="en-US"/>
        </w:rPr>
        <w:t>costs, losses of funding as well as managing longer waiting times and more</w:t>
      </w:r>
      <w:r w:rsidRPr="000F5A44">
        <w:t xml:space="preserve"> </w:t>
      </w:r>
      <w:r w:rsidRPr="002249C3">
        <w:rPr>
          <w:rFonts w:eastAsia="Calibri"/>
          <w:color w:val="000000"/>
          <w:lang w:eastAsia="en-US"/>
        </w:rPr>
        <w:t>complex cases.</w:t>
      </w:r>
      <w:r w:rsidRPr="000F5A44">
        <w:rPr>
          <w:rFonts w:eastAsia="Calibri"/>
          <w:color w:val="000000"/>
          <w:lang w:eastAsia="en-US"/>
        </w:rPr>
        <w:t xml:space="preserve"> Partners report they are continuing to face these types of issues.</w:t>
      </w:r>
    </w:p>
    <w:p w14:paraId="706CD5F0" w14:textId="77777777" w:rsidR="001C07E2" w:rsidRPr="000F5A44" w:rsidRDefault="001C07E2" w:rsidP="001C07E2">
      <w:pPr>
        <w:ind w:left="1134" w:right="1134"/>
        <w:jc w:val="both"/>
        <w:rPr>
          <w:b/>
          <w:bCs/>
        </w:rPr>
      </w:pPr>
    </w:p>
    <w:p w14:paraId="1A584EBA" w14:textId="77777777" w:rsidR="001C07E2" w:rsidRPr="000F5A44" w:rsidRDefault="001C07E2" w:rsidP="001C07E2">
      <w:pPr>
        <w:ind w:left="1134" w:right="1134"/>
        <w:jc w:val="both"/>
      </w:pPr>
    </w:p>
    <w:p w14:paraId="48D0F6D5" w14:textId="77777777" w:rsidR="001C07E2" w:rsidRPr="000F5A44" w:rsidRDefault="001C07E2" w:rsidP="001C07E2">
      <w:pPr>
        <w:spacing w:after="160" w:line="259" w:lineRule="auto"/>
        <w:ind w:left="1134" w:right="1134"/>
        <w:jc w:val="both"/>
      </w:pPr>
      <w:r w:rsidRPr="000F5A44">
        <w:br w:type="page"/>
      </w:r>
    </w:p>
    <w:p w14:paraId="139A2B3D" w14:textId="77777777" w:rsidR="001C07E2" w:rsidRPr="000F5A44" w:rsidRDefault="001C07E2" w:rsidP="001C07E2">
      <w:pPr>
        <w:pStyle w:val="Bullets"/>
        <w:numPr>
          <w:ilvl w:val="0"/>
          <w:numId w:val="2"/>
        </w:numPr>
        <w:ind w:right="1134"/>
        <w:jc w:val="both"/>
        <w:rPr>
          <w:b/>
          <w:bCs/>
        </w:rPr>
      </w:pPr>
      <w:r w:rsidRPr="000F5A44">
        <w:rPr>
          <w:b/>
          <w:bCs/>
        </w:rPr>
        <w:lastRenderedPageBreak/>
        <w:t xml:space="preserve">Distribution of Intervention Delivery </w:t>
      </w:r>
    </w:p>
    <w:p w14:paraId="1C797F2E" w14:textId="77777777" w:rsidR="001C07E2" w:rsidRPr="000F5A44" w:rsidRDefault="001C07E2" w:rsidP="001C07E2">
      <w:pPr>
        <w:pStyle w:val="Bullets"/>
        <w:numPr>
          <w:ilvl w:val="0"/>
          <w:numId w:val="0"/>
        </w:numPr>
        <w:ind w:left="1134" w:right="1134"/>
        <w:jc w:val="both"/>
      </w:pPr>
    </w:p>
    <w:p w14:paraId="7C10CE24" w14:textId="77777777" w:rsidR="001C07E2" w:rsidRPr="000F5A44" w:rsidRDefault="001C07E2" w:rsidP="001C07E2">
      <w:pPr>
        <w:pStyle w:val="Bullets"/>
        <w:numPr>
          <w:ilvl w:val="0"/>
          <w:numId w:val="0"/>
        </w:numPr>
        <w:ind w:left="1134" w:right="1134"/>
        <w:jc w:val="both"/>
      </w:pPr>
      <w:r w:rsidRPr="000F5A44">
        <w:t>Due to Partners merging or applying to deliver their Programmes jointly, we received 122 sets of data. The data below covers the period from the start of delivery (February/March 2023) to March 2024</w:t>
      </w:r>
      <w:r w:rsidRPr="000F5A44">
        <w:rPr>
          <w:rStyle w:val="FootnoteReference"/>
        </w:rPr>
        <w:footnoteReference w:id="2"/>
      </w:r>
      <w:r w:rsidRPr="000F5A44">
        <w:t xml:space="preserve"> with data from all 122 Partners.  </w:t>
      </w:r>
    </w:p>
    <w:p w14:paraId="2BC13164" w14:textId="77777777" w:rsidR="001C07E2" w:rsidRPr="000F5A44" w:rsidRDefault="001C07E2" w:rsidP="001C07E2">
      <w:pPr>
        <w:pStyle w:val="Bullets"/>
        <w:numPr>
          <w:ilvl w:val="0"/>
          <w:numId w:val="0"/>
        </w:numPr>
        <w:ind w:right="1134"/>
        <w:jc w:val="both"/>
        <w:rPr>
          <w:b/>
          <w:bCs/>
        </w:rPr>
      </w:pPr>
    </w:p>
    <w:p w14:paraId="2D909BFA" w14:textId="77777777" w:rsidR="001C07E2" w:rsidRPr="000F5A44" w:rsidRDefault="001C07E2" w:rsidP="001C07E2">
      <w:pPr>
        <w:pStyle w:val="Bullets"/>
        <w:numPr>
          <w:ilvl w:val="0"/>
          <w:numId w:val="1"/>
        </w:numPr>
        <w:ind w:left="1134" w:right="1134" w:hanging="567"/>
        <w:jc w:val="both"/>
      </w:pPr>
      <w:r w:rsidRPr="000F5A44">
        <w:t>54 Network Partners delivered Information &amp; Advice (I&amp;A).</w:t>
      </w:r>
    </w:p>
    <w:p w14:paraId="1FBC86B6" w14:textId="77777777" w:rsidR="001C07E2" w:rsidRPr="000F5A44" w:rsidRDefault="001C07E2" w:rsidP="001C07E2">
      <w:pPr>
        <w:pStyle w:val="Bullets"/>
        <w:numPr>
          <w:ilvl w:val="0"/>
          <w:numId w:val="1"/>
        </w:numPr>
        <w:ind w:left="1134" w:right="1134" w:hanging="567"/>
        <w:jc w:val="both"/>
      </w:pPr>
      <w:r w:rsidRPr="000F5A44">
        <w:t>35 Network Partners used the funding to increase attendance at Physical or Social Activity sessions.</w:t>
      </w:r>
    </w:p>
    <w:p w14:paraId="1E88B322" w14:textId="77777777" w:rsidR="001C07E2" w:rsidRPr="000F5A44" w:rsidRDefault="001C07E2" w:rsidP="001C07E2">
      <w:pPr>
        <w:pStyle w:val="Bullets"/>
        <w:numPr>
          <w:ilvl w:val="0"/>
          <w:numId w:val="1"/>
        </w:numPr>
        <w:ind w:left="1134" w:right="1134" w:hanging="567"/>
        <w:jc w:val="both"/>
      </w:pPr>
      <w:r w:rsidRPr="000F5A44">
        <w:t>33 Network Partners used the fund to increase attendance at Day Centres.</w:t>
      </w:r>
    </w:p>
    <w:p w14:paraId="7D4CEFF9" w14:textId="77777777" w:rsidR="001C07E2" w:rsidRPr="000F5A44" w:rsidRDefault="001C07E2" w:rsidP="001C07E2">
      <w:pPr>
        <w:pStyle w:val="Bullets"/>
        <w:numPr>
          <w:ilvl w:val="0"/>
          <w:numId w:val="1"/>
        </w:numPr>
        <w:ind w:left="1134" w:right="1134" w:hanging="567"/>
        <w:jc w:val="both"/>
      </w:pPr>
      <w:r w:rsidRPr="000F5A44">
        <w:t>36 Network Partners delivered Home Support.</w:t>
      </w:r>
    </w:p>
    <w:p w14:paraId="0B9F0E62" w14:textId="77777777" w:rsidR="001C07E2" w:rsidRPr="000F5A44" w:rsidRDefault="001C07E2" w:rsidP="001C07E2">
      <w:pPr>
        <w:pStyle w:val="Bullets"/>
        <w:numPr>
          <w:ilvl w:val="0"/>
          <w:numId w:val="1"/>
        </w:numPr>
        <w:ind w:left="1134" w:right="1134" w:hanging="567"/>
        <w:jc w:val="both"/>
      </w:pPr>
      <w:r w:rsidRPr="000F5A44">
        <w:t xml:space="preserve">23 Network Partners delivered Meal Provision. </w:t>
      </w:r>
    </w:p>
    <w:p w14:paraId="6FF780DE" w14:textId="77777777" w:rsidR="001C07E2" w:rsidRPr="000F5A44" w:rsidRDefault="001C07E2" w:rsidP="001C07E2">
      <w:pPr>
        <w:jc w:val="both"/>
      </w:pPr>
      <w:r w:rsidRPr="000F5A44">
        <w:rPr>
          <w:noProof/>
        </w:rPr>
        <w:drawing>
          <wp:anchor distT="0" distB="0" distL="114300" distR="114300" simplePos="0" relativeHeight="251659264" behindDoc="0" locked="0" layoutInCell="1" allowOverlap="1" wp14:anchorId="27ADC5AF" wp14:editId="0937AEF2">
            <wp:simplePos x="0" y="0"/>
            <wp:positionH relativeFrom="margin">
              <wp:align>center</wp:align>
            </wp:positionH>
            <wp:positionV relativeFrom="paragraph">
              <wp:posOffset>248285</wp:posOffset>
            </wp:positionV>
            <wp:extent cx="4932680" cy="2760345"/>
            <wp:effectExtent l="0" t="0" r="1270" b="1905"/>
            <wp:wrapTopAndBottom/>
            <wp:docPr id="831295355" name="Picture 1" descr="A group of colorful rectangular labels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5355" name="Picture 1" descr="A group of colorful rectangular labels with numbers and symbol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2680" cy="2760345"/>
                    </a:xfrm>
                    <a:prstGeom prst="rect">
                      <a:avLst/>
                    </a:prstGeom>
                  </pic:spPr>
                </pic:pic>
              </a:graphicData>
            </a:graphic>
            <wp14:sizeRelH relativeFrom="page">
              <wp14:pctWidth>0</wp14:pctWidth>
            </wp14:sizeRelH>
            <wp14:sizeRelV relativeFrom="page">
              <wp14:pctHeight>0</wp14:pctHeight>
            </wp14:sizeRelV>
          </wp:anchor>
        </w:drawing>
      </w:r>
    </w:p>
    <w:p w14:paraId="0517B87E" w14:textId="77777777" w:rsidR="001C07E2" w:rsidRPr="000F5A44" w:rsidRDefault="001C07E2" w:rsidP="001C07E2">
      <w:pPr>
        <w:jc w:val="both"/>
      </w:pPr>
    </w:p>
    <w:p w14:paraId="7A0D665A" w14:textId="77777777" w:rsidR="001C07E2" w:rsidRPr="000F5A44" w:rsidRDefault="001C07E2" w:rsidP="001C07E2">
      <w:pPr>
        <w:pStyle w:val="Bullets"/>
        <w:numPr>
          <w:ilvl w:val="1"/>
          <w:numId w:val="2"/>
        </w:numPr>
        <w:ind w:right="1134"/>
        <w:jc w:val="both"/>
        <w:rPr>
          <w:b/>
          <w:bCs/>
        </w:rPr>
      </w:pPr>
      <w:r w:rsidRPr="000F5A44">
        <w:rPr>
          <w:b/>
          <w:bCs/>
        </w:rPr>
        <w:t>Information and advice (I&amp;A)</w:t>
      </w:r>
    </w:p>
    <w:p w14:paraId="6F1C8DD1" w14:textId="77777777" w:rsidR="001C07E2" w:rsidRPr="000F5A44" w:rsidRDefault="001C07E2" w:rsidP="001C07E2">
      <w:pPr>
        <w:pStyle w:val="Bullets"/>
        <w:numPr>
          <w:ilvl w:val="0"/>
          <w:numId w:val="0"/>
        </w:numPr>
        <w:ind w:left="1134" w:right="1134"/>
        <w:jc w:val="both"/>
      </w:pPr>
    </w:p>
    <w:p w14:paraId="35798655" w14:textId="77777777" w:rsidR="001C07E2" w:rsidRPr="000F5A44" w:rsidRDefault="001C07E2" w:rsidP="001C07E2">
      <w:pPr>
        <w:pStyle w:val="Bullets"/>
        <w:numPr>
          <w:ilvl w:val="0"/>
          <w:numId w:val="0"/>
        </w:numPr>
        <w:ind w:left="1134" w:right="1134"/>
        <w:jc w:val="both"/>
      </w:pPr>
      <w:r w:rsidRPr="000F5A44">
        <w:t xml:space="preserve">Across the Programme, Network Partners have delivered </w:t>
      </w:r>
      <w:r w:rsidRPr="000F5A44">
        <w:rPr>
          <w:u w:val="single"/>
        </w:rPr>
        <w:t>77,110</w:t>
      </w:r>
      <w:r w:rsidRPr="000F5A44">
        <w:t xml:space="preserve"> general enquiry interventions through their Information and Advice services supporting </w:t>
      </w:r>
      <w:r w:rsidRPr="000F5A44">
        <w:rPr>
          <w:u w:val="single"/>
        </w:rPr>
        <w:t>39,4</w:t>
      </w:r>
      <w:r>
        <w:rPr>
          <w:u w:val="single"/>
        </w:rPr>
        <w:t>35</w:t>
      </w:r>
      <w:r w:rsidRPr="000F5A44">
        <w:t xml:space="preserve"> older adults to access extra resources and support available in the community.  </w:t>
      </w:r>
    </w:p>
    <w:p w14:paraId="12234B04" w14:textId="77777777" w:rsidR="001C07E2" w:rsidRPr="000F5A44" w:rsidRDefault="001C07E2" w:rsidP="001C07E2">
      <w:pPr>
        <w:pStyle w:val="Bullets"/>
        <w:numPr>
          <w:ilvl w:val="0"/>
          <w:numId w:val="0"/>
        </w:numPr>
        <w:ind w:left="1134" w:right="1134"/>
        <w:jc w:val="both"/>
      </w:pPr>
    </w:p>
    <w:p w14:paraId="6F018DA6" w14:textId="77777777" w:rsidR="001C07E2" w:rsidRPr="000F5A44" w:rsidRDefault="001C07E2" w:rsidP="001C07E2">
      <w:pPr>
        <w:pStyle w:val="Bullets"/>
        <w:numPr>
          <w:ilvl w:val="0"/>
          <w:numId w:val="0"/>
        </w:numPr>
        <w:ind w:left="1134" w:right="1134"/>
        <w:jc w:val="both"/>
      </w:pPr>
      <w:r w:rsidRPr="000F5A44">
        <w:t>Additionally,</w:t>
      </w:r>
      <w:r w:rsidRPr="000F5A44">
        <w:rPr>
          <w:u w:val="single"/>
        </w:rPr>
        <w:t>13,5</w:t>
      </w:r>
      <w:r>
        <w:rPr>
          <w:u w:val="single"/>
        </w:rPr>
        <w:t>26</w:t>
      </w:r>
      <w:r w:rsidRPr="000F5A44">
        <w:t xml:space="preserve"> benefit enquiry interventions were carried out supporting </w:t>
      </w:r>
      <w:r w:rsidRPr="000F5A44">
        <w:rPr>
          <w:u w:val="single"/>
        </w:rPr>
        <w:t>10,141</w:t>
      </w:r>
      <w:r w:rsidRPr="000F5A44">
        <w:t xml:space="preserve"> people to ensure they are accessing all the benefits they are entitled to. This support has led to </w:t>
      </w:r>
      <w:r w:rsidRPr="000F5A44">
        <w:rPr>
          <w:u w:val="single"/>
        </w:rPr>
        <w:t>£848,105.25</w:t>
      </w:r>
      <w:r w:rsidRPr="000F5A44">
        <w:t xml:space="preserve"> of weekly benefits being </w:t>
      </w:r>
      <w:r>
        <w:t>identified</w:t>
      </w:r>
      <w:r w:rsidRPr="000F5A44">
        <w:t>, annual benefit</w:t>
      </w:r>
      <w:r>
        <w:t>s identified equalled</w:t>
      </w:r>
      <w:r w:rsidRPr="000F5A44">
        <w:t xml:space="preserve"> </w:t>
      </w:r>
      <w:r w:rsidRPr="000F5A44">
        <w:rPr>
          <w:u w:val="single"/>
        </w:rPr>
        <w:t>£37,237,654.07.</w:t>
      </w:r>
    </w:p>
    <w:p w14:paraId="29A41829" w14:textId="77777777" w:rsidR="001C07E2" w:rsidRPr="000F5A44" w:rsidRDefault="001C07E2" w:rsidP="001C07E2">
      <w:pPr>
        <w:pStyle w:val="Bullets"/>
        <w:numPr>
          <w:ilvl w:val="0"/>
          <w:numId w:val="0"/>
        </w:numPr>
        <w:ind w:left="1134" w:right="1134"/>
        <w:jc w:val="both"/>
      </w:pPr>
    </w:p>
    <w:p w14:paraId="173FA44E" w14:textId="77777777" w:rsidR="001C07E2" w:rsidRPr="000F5A44" w:rsidRDefault="001C07E2" w:rsidP="001C07E2">
      <w:pPr>
        <w:ind w:left="1134" w:right="1134"/>
        <w:jc w:val="both"/>
      </w:pPr>
      <w:r w:rsidRPr="000F5A44">
        <w:t>Most clients accessed Attendance Allowance (</w:t>
      </w:r>
      <w:r w:rsidRPr="000F5A44">
        <w:rPr>
          <w:u w:val="single"/>
        </w:rPr>
        <w:t>61%)</w:t>
      </w:r>
      <w:r w:rsidRPr="000F5A44">
        <w:t xml:space="preserve"> claiming an average weekly amount of </w:t>
      </w:r>
      <w:r w:rsidRPr="000F5A44">
        <w:rPr>
          <w:u w:val="single"/>
        </w:rPr>
        <w:t>£90</w:t>
      </w:r>
      <w:r w:rsidRPr="000F5A44">
        <w:t xml:space="preserve">. The next most accessed benefits were for Pension Credit </w:t>
      </w:r>
      <w:r w:rsidRPr="000F5A44">
        <w:rPr>
          <w:u w:val="single"/>
        </w:rPr>
        <w:t>(9.5%</w:t>
      </w:r>
      <w:r w:rsidRPr="000F5A44">
        <w:t xml:space="preserve">) and Council Tax benefit </w:t>
      </w:r>
      <w:r w:rsidRPr="000F5A44">
        <w:rPr>
          <w:u w:val="single"/>
        </w:rPr>
        <w:t>(9%</w:t>
      </w:r>
      <w:r w:rsidRPr="000F5A44">
        <w:t xml:space="preserve">) accessing </w:t>
      </w:r>
      <w:r w:rsidRPr="000F5A44">
        <w:rPr>
          <w:u w:val="single"/>
        </w:rPr>
        <w:t>£64</w:t>
      </w:r>
      <w:r w:rsidRPr="000F5A44">
        <w:t xml:space="preserve"> and </w:t>
      </w:r>
      <w:r w:rsidRPr="000F5A44">
        <w:rPr>
          <w:u w:val="single"/>
        </w:rPr>
        <w:t>£25</w:t>
      </w:r>
      <w:r w:rsidRPr="000F5A44">
        <w:t xml:space="preserve"> </w:t>
      </w:r>
      <w:r>
        <w:t xml:space="preserve">respectively </w:t>
      </w:r>
      <w:r w:rsidRPr="000F5A44">
        <w:t>per week.</w:t>
      </w:r>
      <w:r>
        <w:t xml:space="preserve"> A breakdown can be found in Appendix A.</w:t>
      </w:r>
    </w:p>
    <w:p w14:paraId="7F8EFBC8" w14:textId="77777777" w:rsidR="001C07E2" w:rsidRPr="000F5A44" w:rsidRDefault="001C07E2" w:rsidP="001C07E2">
      <w:pPr>
        <w:ind w:left="1134" w:right="1134"/>
        <w:jc w:val="both"/>
      </w:pPr>
    </w:p>
    <w:p w14:paraId="2B5E1162" w14:textId="77777777" w:rsidR="001C07E2" w:rsidRPr="00712109" w:rsidRDefault="001C07E2" w:rsidP="001C07E2">
      <w:pPr>
        <w:ind w:left="1134" w:right="1134"/>
        <w:jc w:val="both"/>
        <w:rPr>
          <w:i/>
          <w:iCs/>
          <w:color w:val="77206D" w:themeColor="accent5" w:themeShade="BF"/>
        </w:rPr>
      </w:pPr>
      <w:r w:rsidRPr="00712109">
        <w:rPr>
          <w:i/>
          <w:iCs/>
          <w:color w:val="77206D" w:themeColor="accent5" w:themeShade="BF"/>
        </w:rPr>
        <w:lastRenderedPageBreak/>
        <w:t xml:space="preserve">“The Attendance Allowance has made life a lot easier I can afford taxis, a chiropodist, and it helps me with trips to the hospital. These things are not cheap in life, and it has helped me so much.” </w:t>
      </w:r>
    </w:p>
    <w:p w14:paraId="52CD9B77" w14:textId="77777777" w:rsidR="001C07E2" w:rsidRPr="00712109" w:rsidRDefault="001C07E2" w:rsidP="001C07E2">
      <w:pPr>
        <w:ind w:left="1134" w:right="1134"/>
        <w:jc w:val="both"/>
        <w:rPr>
          <w:i/>
          <w:iCs/>
          <w:color w:val="77206D" w:themeColor="accent5" w:themeShade="BF"/>
        </w:rPr>
      </w:pPr>
    </w:p>
    <w:p w14:paraId="34D20D48" w14:textId="77777777" w:rsidR="001C07E2" w:rsidRPr="00712109" w:rsidRDefault="001C07E2" w:rsidP="001C07E2">
      <w:pPr>
        <w:spacing w:after="160" w:line="259" w:lineRule="auto"/>
        <w:ind w:left="1134" w:right="1134"/>
        <w:rPr>
          <w:i/>
          <w:iCs/>
          <w:color w:val="77206D" w:themeColor="accent5" w:themeShade="BF"/>
        </w:rPr>
      </w:pPr>
      <w:r w:rsidRPr="00712109">
        <w:rPr>
          <w:i/>
          <w:iCs/>
          <w:color w:val="77206D" w:themeColor="accent5" w:themeShade="BF"/>
        </w:rPr>
        <w:t xml:space="preserve">“I'm in shock I can't believe I have heating and hot water for the first time in two years, it's going to make such a difference to my life, my health, my mental health, it already has.  Thank you so much to everyone that has helped me” </w:t>
      </w:r>
    </w:p>
    <w:p w14:paraId="79544FF4" w14:textId="77777777" w:rsidR="001C07E2" w:rsidRPr="000F5A44" w:rsidRDefault="001C07E2" w:rsidP="001C07E2">
      <w:pPr>
        <w:pStyle w:val="Bullets"/>
        <w:numPr>
          <w:ilvl w:val="0"/>
          <w:numId w:val="0"/>
        </w:numPr>
        <w:ind w:right="1134"/>
        <w:jc w:val="both"/>
      </w:pPr>
    </w:p>
    <w:p w14:paraId="328C4AD0" w14:textId="77777777" w:rsidR="001C07E2" w:rsidRPr="000F5A44" w:rsidRDefault="001C07E2" w:rsidP="001C07E2">
      <w:pPr>
        <w:pStyle w:val="Bullets"/>
        <w:numPr>
          <w:ilvl w:val="0"/>
          <w:numId w:val="0"/>
        </w:numPr>
        <w:ind w:left="1134" w:right="1134"/>
        <w:jc w:val="both"/>
      </w:pPr>
      <w:r w:rsidRPr="000F5A44">
        <w:t xml:space="preserve">When looking at the percentage of people claiming each benefit type, there is a higher percentage for clients supported by the Cost of Living Response Fund claiming Pension Credit and Council Tax benefit than through some of our other funded Programmes. This tells us that the funding through the Cost of Living project has supported Partners to focus on helping to uplift client’s income for those who need it most in areas that may not be covered in as much detail through other funding streams.   </w:t>
      </w:r>
    </w:p>
    <w:p w14:paraId="4B1EDB1D" w14:textId="77777777" w:rsidR="001C07E2" w:rsidRPr="000F5A44" w:rsidRDefault="001C07E2" w:rsidP="001C07E2">
      <w:pPr>
        <w:pStyle w:val="Bullets"/>
        <w:numPr>
          <w:ilvl w:val="0"/>
          <w:numId w:val="0"/>
        </w:numPr>
        <w:ind w:left="1134" w:right="1134"/>
        <w:jc w:val="both"/>
        <w:rPr>
          <w:u w:val="single"/>
        </w:rPr>
      </w:pPr>
    </w:p>
    <w:p w14:paraId="79C8C14C" w14:textId="77777777" w:rsidR="001C07E2" w:rsidRPr="000F5A44" w:rsidRDefault="001C07E2" w:rsidP="001C07E2">
      <w:pPr>
        <w:ind w:left="1134" w:right="1134"/>
        <w:jc w:val="both"/>
      </w:pPr>
      <w:r w:rsidRPr="000F5A44">
        <w:t>When comparing data from Partners who were funded by the Cost of Living Response Fund to those who were not funded, we can see a slight increase in the average number of issues that each older person was supported with. This could support the idea that Cost of Living Partners were able to focus on a more holistic approach to delivering their Information &amp; Advice services than those who didn’t receive the funding, however more evidence is needed to support this</w:t>
      </w:r>
    </w:p>
    <w:p w14:paraId="25AC71AE" w14:textId="77777777" w:rsidR="001C07E2" w:rsidRPr="000F5A44" w:rsidRDefault="001C07E2" w:rsidP="001C07E2">
      <w:pPr>
        <w:ind w:left="1134" w:right="1134"/>
        <w:jc w:val="both"/>
      </w:pPr>
    </w:p>
    <w:p w14:paraId="6391D76E" w14:textId="77777777" w:rsidR="001C07E2" w:rsidRPr="000F5A44" w:rsidRDefault="001C07E2" w:rsidP="001C07E2">
      <w:pPr>
        <w:ind w:left="1134" w:right="1134"/>
        <w:jc w:val="both"/>
        <w:rPr>
          <w:b/>
          <w:bCs/>
        </w:rPr>
      </w:pPr>
      <w:r w:rsidRPr="000F5A44">
        <w:rPr>
          <w:b/>
          <w:bCs/>
        </w:rPr>
        <w:t xml:space="preserve">3.2 Information and Advice support across Gender </w:t>
      </w:r>
    </w:p>
    <w:p w14:paraId="6D029224" w14:textId="77777777" w:rsidR="001C07E2" w:rsidRPr="000F5A44" w:rsidRDefault="001C07E2" w:rsidP="001C07E2">
      <w:pPr>
        <w:jc w:val="both"/>
      </w:pPr>
    </w:p>
    <w:p w14:paraId="16AD6099" w14:textId="77777777" w:rsidR="001C07E2" w:rsidRPr="000F5A44" w:rsidRDefault="001C07E2" w:rsidP="001C07E2">
      <w:pPr>
        <w:ind w:left="1134" w:right="1134"/>
        <w:jc w:val="both"/>
      </w:pPr>
      <w:r w:rsidRPr="000F5A44">
        <w:rPr>
          <w:noProof/>
        </w:rPr>
        <w:drawing>
          <wp:anchor distT="0" distB="0" distL="114300" distR="114300" simplePos="0" relativeHeight="251660288" behindDoc="0" locked="0" layoutInCell="1" allowOverlap="1" wp14:anchorId="2FF61FB8" wp14:editId="102B9E01">
            <wp:simplePos x="0" y="0"/>
            <wp:positionH relativeFrom="column">
              <wp:posOffset>1608696</wp:posOffset>
            </wp:positionH>
            <wp:positionV relativeFrom="paragraph">
              <wp:posOffset>968608</wp:posOffset>
            </wp:positionV>
            <wp:extent cx="2286000" cy="1438835"/>
            <wp:effectExtent l="0" t="0" r="0" b="9525"/>
            <wp:wrapTopAndBottom/>
            <wp:docPr id="545322301" name="Picture 2" descr="A blue and orange pie char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50507" name="Picture 2" descr="A blue and orange pie chart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38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A44">
        <w:t xml:space="preserve">Of the gender data we have available, </w:t>
      </w:r>
      <w:r w:rsidRPr="000F5A44">
        <w:rPr>
          <w:u w:val="single"/>
        </w:rPr>
        <w:t>64%</w:t>
      </w:r>
      <w:r w:rsidRPr="000F5A44">
        <w:t xml:space="preserve"> of people who contacted Information &amp; Advice services for support funded by Cost of Living funding were female, compared to </w:t>
      </w:r>
      <w:r w:rsidRPr="000F5A44">
        <w:rPr>
          <w:u w:val="single"/>
        </w:rPr>
        <w:t>36%</w:t>
      </w:r>
      <w:r w:rsidRPr="000F5A44">
        <w:t xml:space="preserve"> who were male.</w:t>
      </w:r>
      <w:r w:rsidRPr="000F5A44">
        <w:rPr>
          <w:u w:val="single"/>
        </w:rPr>
        <w:t xml:space="preserve"> 12%</w:t>
      </w:r>
      <w:r w:rsidRPr="000F5A44">
        <w:t xml:space="preserve"> of females were below 65 years old, </w:t>
      </w:r>
      <w:r w:rsidRPr="000F5A44">
        <w:rPr>
          <w:u w:val="single"/>
        </w:rPr>
        <w:t>48%</w:t>
      </w:r>
      <w:r w:rsidRPr="000F5A44">
        <w:t xml:space="preserve"> were between 65-80 years old and </w:t>
      </w:r>
      <w:r w:rsidRPr="000F5A44">
        <w:rPr>
          <w:u w:val="single"/>
        </w:rPr>
        <w:t>40%</w:t>
      </w:r>
      <w:r w:rsidRPr="000F5A44">
        <w:t xml:space="preserve"> were over 80.</w:t>
      </w:r>
    </w:p>
    <w:p w14:paraId="145F8841" w14:textId="77777777" w:rsidR="001C07E2" w:rsidRPr="000F5A44" w:rsidRDefault="001C07E2" w:rsidP="001C07E2">
      <w:pPr>
        <w:ind w:left="1134" w:right="1134"/>
        <w:jc w:val="both"/>
      </w:pPr>
    </w:p>
    <w:p w14:paraId="2FFAE1B5" w14:textId="77777777" w:rsidR="001C07E2" w:rsidRPr="000F5A44" w:rsidRDefault="001C07E2" w:rsidP="001C07E2">
      <w:pPr>
        <w:ind w:left="1134" w:right="1134"/>
        <w:jc w:val="both"/>
      </w:pPr>
    </w:p>
    <w:p w14:paraId="46B1AA28" w14:textId="77777777" w:rsidR="001C07E2" w:rsidRPr="000F5A44" w:rsidRDefault="001C07E2" w:rsidP="001C07E2">
      <w:pPr>
        <w:pStyle w:val="Bullets"/>
        <w:numPr>
          <w:ilvl w:val="0"/>
          <w:numId w:val="0"/>
        </w:numPr>
        <w:ind w:left="1134" w:right="1134"/>
        <w:jc w:val="both"/>
      </w:pPr>
      <w:r w:rsidRPr="000F5A44">
        <w:rPr>
          <w:u w:val="single"/>
        </w:rPr>
        <w:t>46%</w:t>
      </w:r>
      <w:r w:rsidRPr="000F5A44">
        <w:t xml:space="preserve"> of women contacted Information and Advice services for support with understanding and accessing benefits with </w:t>
      </w:r>
      <w:r w:rsidRPr="000F5A44">
        <w:rPr>
          <w:u w:val="single"/>
        </w:rPr>
        <w:t>10%</w:t>
      </w:r>
      <w:r w:rsidRPr="000F5A44">
        <w:t xml:space="preserve"> looking for help with community care and Age UK services. </w:t>
      </w:r>
      <w:r w:rsidRPr="000F5A44">
        <w:rPr>
          <w:u w:val="single"/>
        </w:rPr>
        <w:t>53%</w:t>
      </w:r>
      <w:r w:rsidRPr="000F5A44">
        <w:t xml:space="preserve"> of men got in touch for support with benefits and </w:t>
      </w:r>
      <w:r w:rsidRPr="000F5A44">
        <w:rPr>
          <w:u w:val="single"/>
        </w:rPr>
        <w:t>8%</w:t>
      </w:r>
      <w:r w:rsidRPr="000F5A44">
        <w:t xml:space="preserve"> had enquiries around health conditions and community care.</w:t>
      </w:r>
    </w:p>
    <w:p w14:paraId="28D98C5C" w14:textId="77777777" w:rsidR="001C07E2" w:rsidRPr="000F5A44" w:rsidRDefault="001C07E2" w:rsidP="001C07E2">
      <w:pPr>
        <w:pStyle w:val="Bullets"/>
        <w:numPr>
          <w:ilvl w:val="0"/>
          <w:numId w:val="0"/>
        </w:numPr>
        <w:ind w:left="1134" w:right="1134"/>
        <w:jc w:val="both"/>
      </w:pPr>
    </w:p>
    <w:p w14:paraId="3CEA785E" w14:textId="77777777" w:rsidR="001C07E2" w:rsidRPr="000F5A44" w:rsidRDefault="001C07E2" w:rsidP="001C07E2">
      <w:pPr>
        <w:pStyle w:val="Bullets"/>
        <w:numPr>
          <w:ilvl w:val="0"/>
          <w:numId w:val="0"/>
        </w:numPr>
        <w:ind w:left="1134" w:right="1134"/>
        <w:jc w:val="both"/>
      </w:pPr>
      <w:r w:rsidRPr="000F5A44">
        <w:t xml:space="preserve">Enquires around support for Family and Personal reasons showed the biggest gender difference with </w:t>
      </w:r>
      <w:r w:rsidRPr="000F5A44">
        <w:rPr>
          <w:u w:val="single"/>
        </w:rPr>
        <w:t>74%</w:t>
      </w:r>
      <w:r w:rsidRPr="000F5A44">
        <w:t xml:space="preserve"> of those enquiries being made by women, followed by social and leisure activities and other Age UK services. </w:t>
      </w:r>
    </w:p>
    <w:p w14:paraId="0A188AEA" w14:textId="77777777" w:rsidR="001C07E2" w:rsidRPr="000F5A44" w:rsidRDefault="001C07E2" w:rsidP="001C07E2">
      <w:pPr>
        <w:pStyle w:val="Bullets"/>
        <w:numPr>
          <w:ilvl w:val="0"/>
          <w:numId w:val="0"/>
        </w:numPr>
        <w:ind w:left="1134" w:right="1134"/>
        <w:jc w:val="both"/>
        <w:rPr>
          <w:b/>
          <w:bCs/>
        </w:rPr>
      </w:pPr>
      <w:r w:rsidRPr="000F5A44">
        <w:rPr>
          <w:b/>
          <w:bCs/>
        </w:rPr>
        <w:lastRenderedPageBreak/>
        <w:t xml:space="preserve">3.3 Information &amp; Advice support across Age </w:t>
      </w:r>
    </w:p>
    <w:p w14:paraId="6A95E189" w14:textId="77777777" w:rsidR="001C07E2" w:rsidRPr="000F5A44" w:rsidRDefault="001C07E2" w:rsidP="001C07E2">
      <w:pPr>
        <w:pStyle w:val="Bullets"/>
        <w:numPr>
          <w:ilvl w:val="0"/>
          <w:numId w:val="0"/>
        </w:numPr>
        <w:ind w:left="1134" w:right="1134"/>
        <w:jc w:val="both"/>
      </w:pPr>
    </w:p>
    <w:p w14:paraId="12FA3D42" w14:textId="77777777" w:rsidR="001C07E2" w:rsidRDefault="001C07E2" w:rsidP="001C07E2">
      <w:pPr>
        <w:pStyle w:val="Bullets"/>
        <w:numPr>
          <w:ilvl w:val="0"/>
          <w:numId w:val="0"/>
        </w:numPr>
        <w:ind w:left="1134" w:right="1134"/>
        <w:jc w:val="both"/>
      </w:pPr>
      <w:r>
        <w:t>Seeking support for understanding and accessing benefit entitlements made up the highest percentage of enquiries across all age groups, with 43% of Under 65s, 59% of ages 65-79 and 53% of those over 80 contacting Information &amp; Advice services for help. Please see a further breakdown of the types of issues services were contacted about by age in Appendix B.</w:t>
      </w:r>
    </w:p>
    <w:p w14:paraId="250CC374" w14:textId="77777777" w:rsidR="001C07E2" w:rsidRPr="000F5A44" w:rsidRDefault="001C07E2" w:rsidP="001C07E2">
      <w:pPr>
        <w:jc w:val="both"/>
      </w:pPr>
    </w:p>
    <w:p w14:paraId="75B2EEA3" w14:textId="77777777" w:rsidR="001C07E2" w:rsidRPr="000F5A44" w:rsidRDefault="001C07E2" w:rsidP="001C07E2">
      <w:pPr>
        <w:ind w:left="1134" w:right="1134"/>
        <w:jc w:val="both"/>
        <w:rPr>
          <w:b/>
          <w:bCs/>
        </w:rPr>
      </w:pPr>
      <w:r w:rsidRPr="000F5A44">
        <w:rPr>
          <w:b/>
          <w:bCs/>
        </w:rPr>
        <w:t xml:space="preserve">3.4 Information &amp; Advice across Areas of Deprivation </w:t>
      </w:r>
    </w:p>
    <w:p w14:paraId="6C79D793" w14:textId="77777777" w:rsidR="001C07E2" w:rsidRPr="000F5A44" w:rsidRDefault="001C07E2" w:rsidP="001C07E2">
      <w:pPr>
        <w:ind w:left="1134" w:right="1134"/>
        <w:jc w:val="both"/>
        <w:rPr>
          <w:b/>
          <w:bCs/>
        </w:rPr>
      </w:pPr>
    </w:p>
    <w:p w14:paraId="1950260E" w14:textId="77777777" w:rsidR="001C07E2" w:rsidRPr="00714A03" w:rsidRDefault="001C07E2" w:rsidP="001C07E2">
      <w:pPr>
        <w:pStyle w:val="paragraph"/>
        <w:spacing w:before="0" w:beforeAutospacing="0" w:after="0" w:afterAutospacing="0"/>
        <w:ind w:left="1134" w:right="1134"/>
        <w:jc w:val="both"/>
        <w:textAlignment w:val="baseline"/>
        <w:rPr>
          <w:rStyle w:val="CommentReference"/>
          <w:sz w:val="22"/>
          <w:szCs w:val="22"/>
        </w:rPr>
      </w:pPr>
      <w:r w:rsidRPr="000F5A44">
        <w:rPr>
          <w:rStyle w:val="normaltextrun"/>
          <w:rFonts w:ascii="Arial" w:hAnsi="Arial" w:cs="Arial"/>
          <w:sz w:val="22"/>
          <w:szCs w:val="22"/>
        </w:rPr>
        <w:t>London and the East of England have the highest</w:t>
      </w:r>
      <w:r w:rsidRPr="000F5A44">
        <w:rPr>
          <w:rStyle w:val="CommentReference"/>
          <w:sz w:val="22"/>
          <w:szCs w:val="22"/>
        </w:rPr>
        <w:t xml:space="preserve"> </w:t>
      </w:r>
      <w:r w:rsidRPr="000F5A44">
        <w:rPr>
          <w:rStyle w:val="normaltextrun"/>
          <w:rFonts w:ascii="Arial" w:hAnsi="Arial" w:cs="Arial"/>
          <w:sz w:val="22"/>
          <w:szCs w:val="22"/>
        </w:rPr>
        <w:t xml:space="preserve">average weekly </w:t>
      </w:r>
      <w:r w:rsidRPr="00714A03">
        <w:rPr>
          <w:rStyle w:val="normaltextrun"/>
          <w:rFonts w:ascii="Arial" w:hAnsi="Arial" w:cs="Arial"/>
          <w:sz w:val="22"/>
          <w:szCs w:val="22"/>
        </w:rPr>
        <w:t>benefit amount received by region, at £129 and £107 being accessed by older adults supported by the Cost of Living Funding per week. Age Northern I</w:t>
      </w:r>
      <w:r>
        <w:rPr>
          <w:rStyle w:val="normaltextrun"/>
          <w:rFonts w:ascii="Arial" w:hAnsi="Arial" w:cs="Arial"/>
          <w:sz w:val="22"/>
          <w:szCs w:val="22"/>
        </w:rPr>
        <w:t>re</w:t>
      </w:r>
      <w:r w:rsidRPr="00714A03">
        <w:rPr>
          <w:rStyle w:val="normaltextrun"/>
          <w:rFonts w:ascii="Arial" w:hAnsi="Arial" w:cs="Arial"/>
          <w:sz w:val="22"/>
          <w:szCs w:val="22"/>
        </w:rPr>
        <w:t xml:space="preserve">land has the lowest average weekly amount accessed at only £22. See breakdown in Appendix C. </w:t>
      </w:r>
    </w:p>
    <w:p w14:paraId="32D0A01C" w14:textId="77777777" w:rsidR="001C07E2" w:rsidRPr="00714A03" w:rsidRDefault="001C07E2" w:rsidP="001C07E2">
      <w:pPr>
        <w:pStyle w:val="paragraph"/>
        <w:spacing w:before="0" w:beforeAutospacing="0" w:after="0" w:afterAutospacing="0"/>
        <w:ind w:left="1134" w:right="1134"/>
        <w:jc w:val="both"/>
        <w:textAlignment w:val="baseline"/>
        <w:rPr>
          <w:rStyle w:val="CommentReference"/>
          <w:sz w:val="22"/>
          <w:szCs w:val="22"/>
        </w:rPr>
      </w:pPr>
    </w:p>
    <w:p w14:paraId="089B0E6B" w14:textId="77777777" w:rsidR="001C07E2" w:rsidRDefault="001C07E2" w:rsidP="001C07E2">
      <w:pPr>
        <w:pStyle w:val="paragraph"/>
        <w:spacing w:before="0" w:beforeAutospacing="0" w:after="0"/>
        <w:ind w:left="1134" w:right="1134"/>
        <w:jc w:val="both"/>
        <w:textAlignment w:val="baseline"/>
        <w:rPr>
          <w:rFonts w:ascii="Arial" w:hAnsi="Arial" w:cs="Arial"/>
          <w:sz w:val="22"/>
          <w:szCs w:val="22"/>
        </w:rPr>
      </w:pPr>
      <w:r>
        <w:rPr>
          <w:rFonts w:ascii="Arial" w:hAnsi="Arial" w:cs="Arial"/>
          <w:sz w:val="22"/>
          <w:szCs w:val="22"/>
        </w:rPr>
        <w:t xml:space="preserve">When looking at average weekly benefits identified by areas of deprivation, we can see that the higher </w:t>
      </w:r>
      <w:r w:rsidRPr="00714A03">
        <w:rPr>
          <w:rFonts w:ascii="Arial" w:hAnsi="Arial" w:cs="Arial"/>
          <w:sz w:val="22"/>
          <w:szCs w:val="22"/>
        </w:rPr>
        <w:t xml:space="preserve">the deprivation, the </w:t>
      </w:r>
      <w:r>
        <w:rPr>
          <w:rFonts w:ascii="Arial" w:hAnsi="Arial" w:cs="Arial"/>
          <w:sz w:val="22"/>
          <w:szCs w:val="22"/>
        </w:rPr>
        <w:t xml:space="preserve">higher the amount of average weekly benefit is identified </w:t>
      </w:r>
      <w:r w:rsidRPr="00714A03">
        <w:rPr>
          <w:rFonts w:ascii="Arial" w:hAnsi="Arial" w:cs="Arial"/>
          <w:sz w:val="22"/>
          <w:szCs w:val="22"/>
        </w:rPr>
        <w:t>per person</w:t>
      </w:r>
      <w:r>
        <w:rPr>
          <w:rFonts w:ascii="Arial" w:hAnsi="Arial" w:cs="Arial"/>
          <w:sz w:val="22"/>
          <w:szCs w:val="22"/>
        </w:rPr>
        <w:t>, See Appendix D.</w:t>
      </w:r>
    </w:p>
    <w:p w14:paraId="3F84D3D9" w14:textId="77777777" w:rsidR="001C07E2" w:rsidRPr="00714A03" w:rsidRDefault="001C07E2" w:rsidP="001C07E2">
      <w:pPr>
        <w:pStyle w:val="paragraph"/>
        <w:spacing w:before="0" w:beforeAutospacing="0" w:after="0"/>
        <w:ind w:left="1134" w:right="1134"/>
        <w:jc w:val="both"/>
        <w:textAlignment w:val="baseline"/>
        <w:rPr>
          <w:rFonts w:ascii="Arial" w:eastAsia="Calibri" w:hAnsi="Arial" w:cs="Arial"/>
          <w:kern w:val="2"/>
          <w:sz w:val="22"/>
          <w:szCs w:val="22"/>
          <w:lang w:eastAsia="en-US"/>
          <w14:ligatures w14:val="standardContextual"/>
        </w:rPr>
      </w:pPr>
      <w:r w:rsidRPr="00714A03">
        <w:rPr>
          <w:rFonts w:ascii="Arial" w:eastAsia="Calibri" w:hAnsi="Arial" w:cs="Arial"/>
          <w:kern w:val="2"/>
          <w:sz w:val="22"/>
          <w:szCs w:val="22"/>
          <w:lang w:eastAsia="en-US"/>
          <w14:ligatures w14:val="standardContextual"/>
        </w:rPr>
        <w:t>However, there is a higher percentage of people claiming benefits in the least deprived areas, which suggests that while people in more deprived areas may be entitled to more, they may not be claiming all they are entitled to. This could point to a need to focus on working in areas of high deprivation to target those older people who are not claiming their full benefit entitlements.</w:t>
      </w:r>
    </w:p>
    <w:p w14:paraId="65BFEF6A" w14:textId="77777777" w:rsidR="001C07E2" w:rsidRPr="000F5A44" w:rsidRDefault="001C07E2" w:rsidP="001C07E2">
      <w:pPr>
        <w:pStyle w:val="paragraph"/>
        <w:spacing w:before="0" w:beforeAutospacing="0" w:after="0" w:afterAutospacing="0"/>
        <w:ind w:left="1134" w:right="1134"/>
        <w:jc w:val="both"/>
        <w:textAlignment w:val="baseline"/>
        <w:rPr>
          <w:rStyle w:val="normaltextrun"/>
          <w:rFonts w:ascii="Arial" w:hAnsi="Arial" w:cs="Arial"/>
          <w:sz w:val="22"/>
          <w:szCs w:val="22"/>
        </w:rPr>
      </w:pPr>
    </w:p>
    <w:p w14:paraId="0F50AF92" w14:textId="77777777" w:rsidR="001C07E2" w:rsidRPr="002249C3" w:rsidRDefault="001C07E2" w:rsidP="001C07E2">
      <w:pPr>
        <w:numPr>
          <w:ilvl w:val="0"/>
          <w:numId w:val="2"/>
        </w:numPr>
        <w:ind w:right="1134"/>
        <w:jc w:val="both"/>
        <w:rPr>
          <w:rFonts w:eastAsia="Calibri"/>
          <w:b/>
          <w:bCs/>
        </w:rPr>
      </w:pPr>
      <w:r w:rsidRPr="002249C3">
        <w:rPr>
          <w:rFonts w:eastAsia="Calibri"/>
          <w:b/>
          <w:bCs/>
        </w:rPr>
        <w:t xml:space="preserve">Home Support and Meal Provision </w:t>
      </w:r>
    </w:p>
    <w:p w14:paraId="256C2365" w14:textId="77777777" w:rsidR="001C07E2" w:rsidRPr="002249C3" w:rsidRDefault="001C07E2" w:rsidP="001C07E2">
      <w:pPr>
        <w:ind w:left="1134" w:right="1134"/>
        <w:jc w:val="both"/>
        <w:rPr>
          <w:rFonts w:eastAsia="Calibri"/>
          <w:u w:val="single"/>
        </w:rPr>
      </w:pPr>
    </w:p>
    <w:p w14:paraId="4096ABBD" w14:textId="77777777" w:rsidR="001C07E2" w:rsidRPr="000F5A44" w:rsidRDefault="001C07E2" w:rsidP="001C07E2">
      <w:pPr>
        <w:ind w:left="1134" w:right="1134"/>
        <w:jc w:val="both"/>
        <w:rPr>
          <w:rFonts w:eastAsia="Calibri"/>
        </w:rPr>
      </w:pPr>
      <w:r w:rsidRPr="000F5A44">
        <w:rPr>
          <w:rFonts w:eastAsia="Calibri"/>
        </w:rPr>
        <w:t>Across the Programme</w:t>
      </w:r>
      <w:r w:rsidRPr="002249C3">
        <w:rPr>
          <w:rFonts w:eastAsia="Calibri"/>
        </w:rPr>
        <w:t xml:space="preserve">, </w:t>
      </w:r>
      <w:r w:rsidRPr="002249C3">
        <w:rPr>
          <w:rFonts w:eastAsia="Calibri"/>
          <w:u w:val="single"/>
        </w:rPr>
        <w:t>8,467</w:t>
      </w:r>
      <w:r w:rsidRPr="002249C3">
        <w:rPr>
          <w:rFonts w:eastAsia="Calibri"/>
        </w:rPr>
        <w:t xml:space="preserve"> people have received Home Support services such as cleaning, shopping, and gardening, assisting individuals to stay safe and independent in their homes. This equates to </w:t>
      </w:r>
      <w:r w:rsidRPr="002249C3">
        <w:rPr>
          <w:rFonts w:eastAsia="Calibri"/>
          <w:u w:val="single"/>
        </w:rPr>
        <w:t>74,724</w:t>
      </w:r>
      <w:r w:rsidRPr="002249C3">
        <w:rPr>
          <w:rFonts w:eastAsia="Calibri"/>
        </w:rPr>
        <w:t xml:space="preserve"> hours of support delivered either at reduced or a completely subsidised cost. </w:t>
      </w:r>
      <w:r w:rsidRPr="000F5A44">
        <w:rPr>
          <w:rFonts w:eastAsia="Calibri"/>
        </w:rPr>
        <w:t xml:space="preserve">Of the data we had available this was an average of </w:t>
      </w:r>
      <w:r w:rsidRPr="000F5A44">
        <w:rPr>
          <w:rFonts w:eastAsia="Calibri"/>
          <w:u w:val="single"/>
        </w:rPr>
        <w:t xml:space="preserve">14 </w:t>
      </w:r>
      <w:r w:rsidRPr="000F5A44">
        <w:rPr>
          <w:rFonts w:eastAsia="Calibri"/>
        </w:rPr>
        <w:t>hours of support delivered per older person.</w:t>
      </w:r>
    </w:p>
    <w:p w14:paraId="6F474787" w14:textId="77777777" w:rsidR="001C07E2" w:rsidRPr="000F5A44" w:rsidRDefault="001C07E2" w:rsidP="001C07E2">
      <w:pPr>
        <w:ind w:left="1134" w:right="1134"/>
        <w:jc w:val="both"/>
        <w:rPr>
          <w:rFonts w:eastAsia="Calibri"/>
        </w:rPr>
      </w:pPr>
    </w:p>
    <w:p w14:paraId="1C8FE607" w14:textId="77777777" w:rsidR="001C07E2" w:rsidRPr="002249C3" w:rsidRDefault="001C07E2" w:rsidP="001C07E2">
      <w:pPr>
        <w:ind w:left="1134" w:right="1134"/>
        <w:jc w:val="both"/>
        <w:rPr>
          <w:rFonts w:eastAsia="Calibri"/>
        </w:rPr>
      </w:pPr>
      <w:r w:rsidRPr="002249C3">
        <w:rPr>
          <w:rFonts w:eastAsia="Calibri"/>
        </w:rPr>
        <w:t xml:space="preserve">Additionally, </w:t>
      </w:r>
      <w:r w:rsidRPr="002249C3">
        <w:rPr>
          <w:rFonts w:eastAsia="Calibri"/>
          <w:u w:val="single"/>
        </w:rPr>
        <w:t>57,</w:t>
      </w:r>
      <w:r>
        <w:rPr>
          <w:rFonts w:eastAsia="Calibri"/>
          <w:u w:val="single"/>
        </w:rPr>
        <w:t>76</w:t>
      </w:r>
      <w:r w:rsidRPr="002249C3">
        <w:rPr>
          <w:rFonts w:eastAsia="Calibri"/>
          <w:u w:val="single"/>
        </w:rPr>
        <w:t>7</w:t>
      </w:r>
      <w:r w:rsidRPr="002249C3">
        <w:rPr>
          <w:rFonts w:eastAsia="Calibri"/>
        </w:rPr>
        <w:t xml:space="preserve"> meals were delivered to </w:t>
      </w:r>
      <w:r w:rsidRPr="002249C3">
        <w:rPr>
          <w:rFonts w:eastAsia="Calibri"/>
          <w:u w:val="single"/>
        </w:rPr>
        <w:t>3,098</w:t>
      </w:r>
      <w:r w:rsidRPr="002249C3">
        <w:rPr>
          <w:rFonts w:eastAsia="Calibri"/>
        </w:rPr>
        <w:t xml:space="preserve"> older people through the Programme, further supporting people to stay in their residence and have access to hot and nutritious meals. </w:t>
      </w:r>
      <w:r w:rsidRPr="000F5A44">
        <w:rPr>
          <w:rFonts w:eastAsia="Calibri"/>
        </w:rPr>
        <w:t xml:space="preserve">On average Partners reached </w:t>
      </w:r>
      <w:r w:rsidRPr="000F5A44">
        <w:rPr>
          <w:rFonts w:eastAsia="Calibri"/>
          <w:u w:val="single"/>
        </w:rPr>
        <w:t>107</w:t>
      </w:r>
      <w:r w:rsidRPr="000F5A44">
        <w:rPr>
          <w:rFonts w:eastAsia="Calibri"/>
        </w:rPr>
        <w:t xml:space="preserve"> older people, delivering </w:t>
      </w:r>
      <w:r w:rsidRPr="000F5A44">
        <w:rPr>
          <w:rFonts w:eastAsia="Calibri"/>
          <w:u w:val="single"/>
        </w:rPr>
        <w:t>1,992</w:t>
      </w:r>
      <w:r w:rsidRPr="000F5A44">
        <w:rPr>
          <w:rFonts w:eastAsia="Calibri"/>
        </w:rPr>
        <w:t xml:space="preserve"> meals per Partner and on average </w:t>
      </w:r>
      <w:r w:rsidRPr="000F5A44">
        <w:rPr>
          <w:rFonts w:eastAsia="Calibri"/>
          <w:u w:val="single"/>
        </w:rPr>
        <w:t>19</w:t>
      </w:r>
      <w:r w:rsidRPr="000F5A44">
        <w:rPr>
          <w:rFonts w:eastAsia="Calibri"/>
        </w:rPr>
        <w:t xml:space="preserve"> meals per older person. </w:t>
      </w:r>
    </w:p>
    <w:p w14:paraId="5778683E" w14:textId="77777777" w:rsidR="001C07E2" w:rsidRPr="000F5A44" w:rsidRDefault="001C07E2" w:rsidP="001C07E2">
      <w:pPr>
        <w:jc w:val="both"/>
      </w:pPr>
    </w:p>
    <w:p w14:paraId="4143FA39"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“We are offering a 50% discount to those on a low income which has enabled people who wouldn’t be able to afford to access the service the help that they need.  In circumstances where the client is on a low income, and they are awaiting the outcome of a benefit check we give a 100% discount until the benefit is awarded.  This is a new service established in April in Herefordshire and referrals are increasing.”</w:t>
      </w:r>
    </w:p>
    <w:p w14:paraId="67E34588" w14:textId="77777777" w:rsidR="001C07E2" w:rsidRPr="00712109" w:rsidRDefault="001C07E2" w:rsidP="001C07E2">
      <w:pPr>
        <w:ind w:left="1134" w:right="1134" w:hanging="567"/>
        <w:jc w:val="both"/>
        <w:rPr>
          <w:rFonts w:eastAsia="Calibri"/>
          <w:i/>
          <w:iCs/>
          <w:color w:val="77206D" w:themeColor="accent5" w:themeShade="BF"/>
        </w:rPr>
      </w:pPr>
    </w:p>
    <w:p w14:paraId="14EF50AB"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lastRenderedPageBreak/>
        <w:t>“We have been able to provide a regular hot meal to the attendees of the day care centre and we are looking to expand this across more days during the winter months when there will be more need.” not</w:t>
      </w:r>
    </w:p>
    <w:p w14:paraId="3BF676EE" w14:textId="77777777" w:rsidR="001C07E2" w:rsidRPr="00712109" w:rsidRDefault="001C07E2" w:rsidP="001C07E2">
      <w:pPr>
        <w:ind w:left="1134" w:right="1134"/>
        <w:jc w:val="both"/>
        <w:rPr>
          <w:rFonts w:eastAsia="Calibri"/>
          <w:color w:val="77206D" w:themeColor="accent5" w:themeShade="BF"/>
        </w:rPr>
      </w:pPr>
    </w:p>
    <w:p w14:paraId="793D54E2" w14:textId="77777777" w:rsidR="001C07E2" w:rsidRPr="00712109" w:rsidRDefault="001C07E2" w:rsidP="001C07E2">
      <w:pPr>
        <w:numPr>
          <w:ilvl w:val="0"/>
          <w:numId w:val="3"/>
        </w:numPr>
        <w:ind w:right="1134"/>
        <w:jc w:val="both"/>
        <w:rPr>
          <w:rFonts w:eastAsia="Calibri"/>
          <w:b/>
          <w:bCs/>
          <w:color w:val="77206D" w:themeColor="accent5" w:themeShade="BF"/>
        </w:rPr>
      </w:pPr>
      <w:r w:rsidRPr="00712109">
        <w:rPr>
          <w:rFonts w:eastAsia="Calibri"/>
          <w:b/>
          <w:bCs/>
          <w:color w:val="77206D" w:themeColor="accent5" w:themeShade="BF"/>
        </w:rPr>
        <w:t>Age UK Herefordshire &amp; Worcestershire</w:t>
      </w:r>
    </w:p>
    <w:p w14:paraId="40EE6CCB" w14:textId="77777777" w:rsidR="001C07E2" w:rsidRPr="002249C3" w:rsidRDefault="001C07E2" w:rsidP="001C07E2">
      <w:pPr>
        <w:ind w:left="0" w:right="1134"/>
        <w:jc w:val="both"/>
        <w:rPr>
          <w:rFonts w:eastAsia="Calibri"/>
        </w:rPr>
      </w:pPr>
      <w:bookmarkStart w:id="0" w:name="_Hlk174012050"/>
    </w:p>
    <w:bookmarkEnd w:id="0"/>
    <w:p w14:paraId="15D089FB" w14:textId="77777777" w:rsidR="001C07E2" w:rsidRPr="002249C3" w:rsidRDefault="001C07E2" w:rsidP="001C07E2">
      <w:pPr>
        <w:numPr>
          <w:ilvl w:val="0"/>
          <w:numId w:val="2"/>
        </w:numPr>
        <w:ind w:right="1134"/>
        <w:jc w:val="both"/>
        <w:rPr>
          <w:rFonts w:eastAsia="Calibri"/>
          <w:b/>
          <w:bCs/>
        </w:rPr>
      </w:pPr>
      <w:r w:rsidRPr="002249C3">
        <w:rPr>
          <w:rFonts w:eastAsia="Calibri"/>
          <w:b/>
          <w:bCs/>
        </w:rPr>
        <w:t xml:space="preserve">Increasing Attendance at Social/Physical Activities and Day Centres  </w:t>
      </w:r>
    </w:p>
    <w:p w14:paraId="7C4A1AAD" w14:textId="77777777" w:rsidR="001C07E2" w:rsidRPr="002249C3" w:rsidRDefault="001C07E2" w:rsidP="001C07E2">
      <w:pPr>
        <w:ind w:left="1134" w:right="1134"/>
        <w:jc w:val="both"/>
        <w:rPr>
          <w:rFonts w:eastAsia="Calibri"/>
          <w:b/>
          <w:bCs/>
        </w:rPr>
      </w:pPr>
    </w:p>
    <w:p w14:paraId="41EE5D67" w14:textId="77777777" w:rsidR="001C07E2" w:rsidRPr="000F5A44" w:rsidRDefault="001C07E2" w:rsidP="001C07E2">
      <w:pPr>
        <w:ind w:left="1134" w:right="1134"/>
        <w:jc w:val="both"/>
      </w:pPr>
      <w:bookmarkStart w:id="1" w:name="_Hlk174451094"/>
      <w:r w:rsidRPr="002249C3">
        <w:t xml:space="preserve">Network Partners have supported </w:t>
      </w:r>
      <w:r w:rsidRPr="002249C3">
        <w:rPr>
          <w:u w:val="single"/>
        </w:rPr>
        <w:t>20,189</w:t>
      </w:r>
      <w:r w:rsidRPr="002249C3">
        <w:t xml:space="preserve"> older people to take part in </w:t>
      </w:r>
      <w:r w:rsidRPr="002249C3">
        <w:rPr>
          <w:u w:val="single"/>
        </w:rPr>
        <w:t>102,031</w:t>
      </w:r>
      <w:r w:rsidRPr="002249C3">
        <w:t xml:space="preserve"> hours of Physical and Social </w:t>
      </w:r>
      <w:r w:rsidRPr="000F5A44">
        <w:t>Activity</w:t>
      </w:r>
      <w:r w:rsidRPr="002249C3">
        <w:t>. Just a few examples of services being delivered are ‘Music in the park’, coffee mornings, community helpers, befriending, art on zoom, seated exercise, and sensory stimulation/gentle movement.  </w:t>
      </w:r>
    </w:p>
    <w:bookmarkEnd w:id="1"/>
    <w:p w14:paraId="70820A50" w14:textId="77777777" w:rsidR="001C07E2" w:rsidRPr="000F5A44" w:rsidRDefault="001C07E2" w:rsidP="001C07E2">
      <w:pPr>
        <w:ind w:left="1134" w:right="1134"/>
        <w:jc w:val="both"/>
      </w:pPr>
    </w:p>
    <w:p w14:paraId="47D28D5B" w14:textId="77777777" w:rsidR="001C07E2" w:rsidRPr="000F5A44" w:rsidRDefault="001C07E2" w:rsidP="001C07E2">
      <w:pPr>
        <w:ind w:left="1134" w:right="1134"/>
        <w:jc w:val="both"/>
      </w:pPr>
      <w:r>
        <w:t>On average e</w:t>
      </w:r>
      <w:r w:rsidRPr="000F5A44">
        <w:t>ach Partner provided</w:t>
      </w:r>
      <w:r w:rsidRPr="002249C3">
        <w:t xml:space="preserve"> </w:t>
      </w:r>
      <w:r w:rsidRPr="002249C3">
        <w:rPr>
          <w:u w:val="single"/>
        </w:rPr>
        <w:t>3,092</w:t>
      </w:r>
      <w:r w:rsidRPr="002249C3">
        <w:t xml:space="preserve"> hours </w:t>
      </w:r>
      <w:r w:rsidRPr="000F5A44">
        <w:t>of activities for older people</w:t>
      </w:r>
      <w:r>
        <w:rPr>
          <w:rStyle w:val="FootnoteReference"/>
        </w:rPr>
        <w:footnoteReference w:id="3"/>
      </w:r>
      <w:r w:rsidRPr="000F5A44">
        <w:t xml:space="preserve">. This is the </w:t>
      </w:r>
      <w:r w:rsidRPr="002249C3">
        <w:t xml:space="preserve">equivalent </w:t>
      </w:r>
      <w:r w:rsidRPr="000F5A44">
        <w:t xml:space="preserve">of, on average, </w:t>
      </w:r>
      <w:r w:rsidRPr="002249C3">
        <w:rPr>
          <w:u w:val="single"/>
        </w:rPr>
        <w:t>128</w:t>
      </w:r>
      <w:r w:rsidRPr="002249C3">
        <w:t xml:space="preserve"> days of support </w:t>
      </w:r>
      <w:r w:rsidRPr="000F5A44">
        <w:t xml:space="preserve">to </w:t>
      </w:r>
      <w:r w:rsidRPr="000F5A44">
        <w:rPr>
          <w:u w:val="single"/>
        </w:rPr>
        <w:t>470</w:t>
      </w:r>
      <w:r w:rsidRPr="000F5A44">
        <w:t xml:space="preserve"> older people </w:t>
      </w:r>
      <w:r w:rsidRPr="002249C3">
        <w:t xml:space="preserve">per Partner </w:t>
      </w:r>
      <w:r w:rsidRPr="000F5A44">
        <w:t xml:space="preserve">and for an average of </w:t>
      </w:r>
      <w:r w:rsidRPr="002249C3">
        <w:rPr>
          <w:u w:val="single"/>
        </w:rPr>
        <w:t>5.6</w:t>
      </w:r>
      <w:r w:rsidRPr="002249C3">
        <w:t xml:space="preserve"> hours per person</w:t>
      </w:r>
      <w:r w:rsidRPr="000F5A44">
        <w:t xml:space="preserve"> </w:t>
      </w:r>
      <w:r w:rsidRPr="002249C3">
        <w:t>across the Programme.</w:t>
      </w:r>
      <w:r w:rsidRPr="000F5A44">
        <w:t xml:space="preserve"> This support covered </w:t>
      </w:r>
      <w:r w:rsidRPr="000F5A44">
        <w:rPr>
          <w:u w:val="single"/>
        </w:rPr>
        <w:t>43,413</w:t>
      </w:r>
      <w:r w:rsidRPr="000F5A44">
        <w:t xml:space="preserve"> physical activity</w:t>
      </w:r>
      <w:r>
        <w:t xml:space="preserve"> interventions</w:t>
      </w:r>
      <w:r w:rsidRPr="000F5A44">
        <w:t xml:space="preserve"> and </w:t>
      </w:r>
      <w:r w:rsidRPr="000F5A44">
        <w:rPr>
          <w:u w:val="single"/>
        </w:rPr>
        <w:t>38,644</w:t>
      </w:r>
      <w:r w:rsidRPr="000F5A44">
        <w:t xml:space="preserve"> Social Activity provided</w:t>
      </w:r>
      <w:r>
        <w:t xml:space="preserve"> interventions</w:t>
      </w:r>
    </w:p>
    <w:p w14:paraId="7385C448" w14:textId="77777777" w:rsidR="001C07E2" w:rsidRPr="000F5A44" w:rsidRDefault="001C07E2" w:rsidP="001C07E2">
      <w:pPr>
        <w:ind w:left="1134" w:right="1134"/>
        <w:jc w:val="both"/>
      </w:pPr>
    </w:p>
    <w:p w14:paraId="6DC7F165" w14:textId="77777777" w:rsidR="001C07E2" w:rsidRPr="000F5A44" w:rsidRDefault="001C07E2" w:rsidP="001C07E2">
      <w:pPr>
        <w:ind w:left="1134" w:right="1134"/>
        <w:jc w:val="both"/>
      </w:pPr>
      <w:r w:rsidRPr="000F5A44">
        <w:t xml:space="preserve">Across the Programme </w:t>
      </w:r>
      <w:r w:rsidRPr="002249C3">
        <w:rPr>
          <w:u w:val="single"/>
        </w:rPr>
        <w:t>17,</w:t>
      </w:r>
      <w:r>
        <w:rPr>
          <w:u w:val="single"/>
        </w:rPr>
        <w:t>598</w:t>
      </w:r>
      <w:r w:rsidRPr="002249C3">
        <w:t xml:space="preserve"> older individuals attended </w:t>
      </w:r>
      <w:r w:rsidRPr="002249C3">
        <w:rPr>
          <w:u w:val="single"/>
        </w:rPr>
        <w:t>283,427</w:t>
      </w:r>
      <w:r w:rsidRPr="002249C3">
        <w:t xml:space="preserve"> hours of support at Day Centre activities such as crafts, digital inclusion, bingo, ‘Knit and Natter’, choir, lunch clubs, and warm hubs.  </w:t>
      </w:r>
    </w:p>
    <w:p w14:paraId="2A84979E" w14:textId="77777777" w:rsidR="001C07E2" w:rsidRPr="000F5A44" w:rsidRDefault="001C07E2" w:rsidP="001C07E2">
      <w:pPr>
        <w:ind w:left="1134" w:right="1134"/>
        <w:jc w:val="both"/>
      </w:pPr>
    </w:p>
    <w:p w14:paraId="3BB95FD7" w14:textId="77777777" w:rsidR="001C07E2" w:rsidRPr="000F5A44" w:rsidRDefault="001C07E2" w:rsidP="001C07E2">
      <w:pPr>
        <w:ind w:left="1134" w:right="1134"/>
        <w:jc w:val="both"/>
      </w:pPr>
      <w:r w:rsidRPr="002249C3">
        <w:t xml:space="preserve">This works out </w:t>
      </w:r>
      <w:r>
        <w:t xml:space="preserve">on average, </w:t>
      </w:r>
      <w:r w:rsidRPr="002249C3">
        <w:t xml:space="preserve">as </w:t>
      </w:r>
      <w:r w:rsidRPr="002249C3">
        <w:rPr>
          <w:u w:val="single"/>
        </w:rPr>
        <w:t>227</w:t>
      </w:r>
      <w:r w:rsidRPr="002249C3">
        <w:t xml:space="preserve"> days’ worth of attendance</w:t>
      </w:r>
      <w:r w:rsidRPr="000F5A44">
        <w:t xml:space="preserve"> to </w:t>
      </w:r>
      <w:r w:rsidRPr="000F5A44">
        <w:rPr>
          <w:u w:val="single"/>
        </w:rPr>
        <w:t>338</w:t>
      </w:r>
      <w:r w:rsidRPr="000F5A44">
        <w:t xml:space="preserve"> people</w:t>
      </w:r>
      <w:r w:rsidRPr="002249C3">
        <w:t xml:space="preserve"> per </w:t>
      </w:r>
      <w:r w:rsidRPr="000F5A44">
        <w:t xml:space="preserve">Partner, for </w:t>
      </w:r>
      <w:r w:rsidRPr="000F5A44">
        <w:rPr>
          <w:u w:val="single"/>
        </w:rPr>
        <w:t>16.1</w:t>
      </w:r>
      <w:r w:rsidRPr="000F5A44">
        <w:t xml:space="preserve"> hours per person.</w:t>
      </w:r>
    </w:p>
    <w:p w14:paraId="519E93F8" w14:textId="77777777" w:rsidR="001C07E2" w:rsidRPr="002249C3" w:rsidRDefault="001C07E2" w:rsidP="001C07E2">
      <w:pPr>
        <w:ind w:left="0" w:right="1134"/>
        <w:jc w:val="both"/>
        <w:rPr>
          <w:rFonts w:eastAsia="Calibri"/>
        </w:rPr>
      </w:pPr>
    </w:p>
    <w:p w14:paraId="4B9F7B44" w14:textId="77777777" w:rsidR="001C07E2" w:rsidRPr="00712109" w:rsidRDefault="001C07E2" w:rsidP="001C07E2">
      <w:pPr>
        <w:ind w:left="1134" w:right="1134"/>
        <w:jc w:val="both"/>
        <w:rPr>
          <w:rFonts w:eastAsia="Calibri"/>
          <w:color w:val="77206D" w:themeColor="accent5" w:themeShade="BF"/>
        </w:rPr>
      </w:pPr>
      <w:r w:rsidRPr="00712109">
        <w:rPr>
          <w:rFonts w:eastAsia="Calibri"/>
          <w:i/>
          <w:iCs/>
          <w:color w:val="77206D" w:themeColor="accent5" w:themeShade="BF"/>
        </w:rPr>
        <w:t>“We never run out of things to talk about at the lunch table, I often just enjoy listening to all the chatter going on.”</w:t>
      </w:r>
    </w:p>
    <w:p w14:paraId="4048C84E" w14:textId="77777777" w:rsidR="001C07E2" w:rsidRPr="00712109" w:rsidRDefault="001C07E2" w:rsidP="001C07E2">
      <w:pPr>
        <w:ind w:left="1134" w:right="1134"/>
        <w:jc w:val="both"/>
        <w:rPr>
          <w:rFonts w:eastAsia="Calibri"/>
          <w:color w:val="77206D" w:themeColor="accent5" w:themeShade="BF"/>
        </w:rPr>
      </w:pPr>
    </w:p>
    <w:p w14:paraId="433921B1"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“I always have a good day when I've been to the centre.”</w:t>
      </w:r>
    </w:p>
    <w:p w14:paraId="01CE567A" w14:textId="77777777" w:rsidR="001C07E2" w:rsidRPr="00712109" w:rsidRDefault="001C07E2" w:rsidP="001C07E2">
      <w:pPr>
        <w:ind w:left="1134" w:right="1134"/>
        <w:jc w:val="both"/>
        <w:rPr>
          <w:rFonts w:eastAsia="Calibri"/>
          <w:i/>
          <w:iCs/>
          <w:color w:val="77206D" w:themeColor="accent5" w:themeShade="BF"/>
        </w:rPr>
      </w:pPr>
    </w:p>
    <w:p w14:paraId="63D82B42"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“We’ve just become good friends…….and I look forward to Fridays. It’s made a difference to my life. I can’t thank you enough.”</w:t>
      </w:r>
    </w:p>
    <w:p w14:paraId="770071DF" w14:textId="77777777" w:rsidR="001C07E2" w:rsidRPr="00712109" w:rsidRDefault="001C07E2" w:rsidP="001C07E2">
      <w:pPr>
        <w:ind w:left="1134" w:right="1134"/>
        <w:jc w:val="both"/>
        <w:rPr>
          <w:rFonts w:eastAsia="Calibri"/>
          <w:i/>
          <w:iCs/>
          <w:color w:val="77206D" w:themeColor="accent5" w:themeShade="BF"/>
        </w:rPr>
      </w:pPr>
    </w:p>
    <w:p w14:paraId="671D6242"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 xml:space="preserve">“I lost my Partner recently. This was a lifeline really, to keep sane, to get out of the house to mix with people. The choir does lift you, you get out, you mix, and our choir leader is so good.” </w:t>
      </w:r>
    </w:p>
    <w:p w14:paraId="6D4F6DB1" w14:textId="77777777" w:rsidR="001C07E2" w:rsidRPr="00712109" w:rsidRDefault="001C07E2" w:rsidP="001C07E2">
      <w:pPr>
        <w:ind w:left="1134" w:right="1134"/>
        <w:jc w:val="both"/>
        <w:rPr>
          <w:rFonts w:eastAsia="Calibri"/>
          <w:i/>
          <w:iCs/>
          <w:color w:val="77206D" w:themeColor="accent5" w:themeShade="BF"/>
        </w:rPr>
      </w:pPr>
    </w:p>
    <w:p w14:paraId="1B3018D6"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“I come for company and a natter. I have no family. It’s a great place for networking and finding out lots of information, also convenient that it’s a ‘drop in’, so you don’t feel guilty if you’re not here every week”</w:t>
      </w:r>
    </w:p>
    <w:p w14:paraId="1F359533" w14:textId="77777777" w:rsidR="001C07E2" w:rsidRPr="00712109" w:rsidRDefault="001C07E2" w:rsidP="001C07E2">
      <w:pPr>
        <w:ind w:left="1134" w:right="1134"/>
        <w:jc w:val="both"/>
        <w:rPr>
          <w:rFonts w:eastAsia="Calibri"/>
          <w:i/>
          <w:iCs/>
          <w:color w:val="77206D" w:themeColor="accent5" w:themeShade="BF"/>
        </w:rPr>
      </w:pPr>
    </w:p>
    <w:p w14:paraId="65A975A1" w14:textId="77777777" w:rsidR="001C07E2" w:rsidRPr="00712109" w:rsidRDefault="001C07E2" w:rsidP="001C07E2">
      <w:pPr>
        <w:ind w:left="1134" w:right="1134"/>
        <w:jc w:val="both"/>
        <w:rPr>
          <w:rFonts w:eastAsia="Calibri"/>
          <w:i/>
          <w:iCs/>
          <w:color w:val="77206D" w:themeColor="accent5" w:themeShade="BF"/>
        </w:rPr>
      </w:pPr>
      <w:r>
        <w:rPr>
          <w:rFonts w:eastAsia="Calibri"/>
          <w:i/>
          <w:iCs/>
          <w:color w:val="77206D" w:themeColor="accent5" w:themeShade="BF"/>
        </w:rPr>
        <w:t>“</w:t>
      </w:r>
      <w:r w:rsidRPr="00712109">
        <w:rPr>
          <w:rFonts w:eastAsia="Calibri"/>
          <w:i/>
          <w:iCs/>
          <w:color w:val="77206D" w:themeColor="accent5" w:themeShade="BF"/>
        </w:rPr>
        <w:t>I come for company and a natter. I have no family. It’s a great place for networking and finding out lots of information, also convenient that it’s a ‘drop in’, so you don’t feel guilty if you’re not here every week”.</w:t>
      </w:r>
    </w:p>
    <w:p w14:paraId="311292DB" w14:textId="77777777" w:rsidR="001C07E2" w:rsidRPr="002249C3" w:rsidRDefault="001C07E2" w:rsidP="001C07E2">
      <w:pPr>
        <w:ind w:left="1134" w:right="1134"/>
        <w:jc w:val="both"/>
        <w:rPr>
          <w:rFonts w:eastAsia="Calibri"/>
          <w:i/>
          <w:iCs/>
          <w:color w:val="5F497A"/>
        </w:rPr>
      </w:pPr>
    </w:p>
    <w:p w14:paraId="3098AE95" w14:textId="77777777" w:rsidR="001C07E2" w:rsidRPr="002249C3" w:rsidRDefault="001C07E2" w:rsidP="001C07E2">
      <w:pPr>
        <w:numPr>
          <w:ilvl w:val="0"/>
          <w:numId w:val="2"/>
        </w:numPr>
        <w:ind w:right="1134"/>
        <w:jc w:val="both"/>
        <w:rPr>
          <w:rFonts w:eastAsia="Calibri"/>
          <w:b/>
          <w:bCs/>
        </w:rPr>
      </w:pPr>
      <w:r w:rsidRPr="002249C3">
        <w:rPr>
          <w:rFonts w:eastAsia="Calibri"/>
          <w:b/>
          <w:bCs/>
        </w:rPr>
        <w:t>Demographics</w:t>
      </w:r>
      <w:r w:rsidRPr="000F5A44">
        <w:rPr>
          <w:rFonts w:eastAsia="Calibri"/>
          <w:b/>
          <w:bCs/>
        </w:rPr>
        <w:t xml:space="preserve"> across all five interventions </w:t>
      </w:r>
    </w:p>
    <w:p w14:paraId="6C6E477E" w14:textId="77777777" w:rsidR="001C07E2" w:rsidRPr="002249C3" w:rsidRDefault="001C07E2" w:rsidP="001C07E2">
      <w:pPr>
        <w:ind w:left="1134" w:right="1134"/>
        <w:jc w:val="both"/>
        <w:rPr>
          <w:rFonts w:eastAsia="Calibri"/>
        </w:rPr>
      </w:pPr>
    </w:p>
    <w:p w14:paraId="5DB9A3E8" w14:textId="77777777" w:rsidR="001C07E2" w:rsidRPr="000F5A44" w:rsidRDefault="001C07E2" w:rsidP="001C07E2">
      <w:pPr>
        <w:ind w:left="1134" w:right="1134"/>
        <w:jc w:val="both"/>
        <w:rPr>
          <w:rFonts w:eastAsia="Calibri"/>
        </w:rPr>
      </w:pPr>
      <w:r w:rsidRPr="002249C3">
        <w:rPr>
          <w:rFonts w:eastAsia="Calibri"/>
        </w:rPr>
        <w:t xml:space="preserve">Of the </w:t>
      </w:r>
      <w:r w:rsidRPr="002249C3">
        <w:rPr>
          <w:rFonts w:eastAsia="Calibri"/>
          <w:u w:val="single"/>
        </w:rPr>
        <w:t>94,912</w:t>
      </w:r>
      <w:r w:rsidRPr="002249C3">
        <w:rPr>
          <w:rFonts w:eastAsia="Calibri"/>
        </w:rPr>
        <w:t xml:space="preserve"> older people supported</w:t>
      </w:r>
      <w:r w:rsidRPr="000F5A44">
        <w:rPr>
          <w:rFonts w:eastAsia="Calibri"/>
        </w:rPr>
        <w:t xml:space="preserve"> across the programme</w:t>
      </w:r>
      <w:r w:rsidRPr="002249C3">
        <w:rPr>
          <w:rFonts w:eastAsia="Calibri"/>
        </w:rPr>
        <w:t xml:space="preserve">, </w:t>
      </w:r>
      <w:r w:rsidRPr="002249C3">
        <w:rPr>
          <w:rFonts w:eastAsia="Calibri"/>
          <w:b/>
          <w:bCs/>
        </w:rPr>
        <w:t>gender data</w:t>
      </w:r>
      <w:r w:rsidRPr="002249C3">
        <w:rPr>
          <w:rFonts w:eastAsia="Calibri"/>
        </w:rPr>
        <w:t xml:space="preserve"> was available for </w:t>
      </w:r>
      <w:r w:rsidRPr="002249C3">
        <w:rPr>
          <w:rFonts w:eastAsia="Calibri"/>
          <w:u w:val="single"/>
        </w:rPr>
        <w:t>72.1% (68,433)</w:t>
      </w:r>
      <w:r w:rsidRPr="002249C3">
        <w:rPr>
          <w:rFonts w:eastAsia="Calibri"/>
        </w:rPr>
        <w:t>.</w:t>
      </w:r>
    </w:p>
    <w:p w14:paraId="35D1F44B" w14:textId="77777777" w:rsidR="001C07E2" w:rsidRPr="000F5A44" w:rsidRDefault="001C07E2" w:rsidP="001C07E2">
      <w:pPr>
        <w:ind w:left="1134" w:right="1134"/>
        <w:jc w:val="both"/>
        <w:rPr>
          <w:rFonts w:eastAsia="Calibri"/>
        </w:rPr>
      </w:pPr>
    </w:p>
    <w:p w14:paraId="5295A222" w14:textId="77777777" w:rsidR="001C07E2" w:rsidRPr="002249C3" w:rsidRDefault="001C07E2" w:rsidP="001C07E2">
      <w:pPr>
        <w:ind w:left="1134" w:right="1134"/>
        <w:jc w:val="both"/>
        <w:rPr>
          <w:rFonts w:eastAsia="Calibri"/>
        </w:rPr>
      </w:pPr>
      <w:r w:rsidRPr="002249C3">
        <w:rPr>
          <w:rFonts w:eastAsia="Calibri"/>
          <w:u w:val="single"/>
        </w:rPr>
        <w:lastRenderedPageBreak/>
        <w:t>35.3% (24,175)</w:t>
      </w:r>
      <w:r w:rsidRPr="002249C3">
        <w:rPr>
          <w:rFonts w:eastAsia="Calibri"/>
        </w:rPr>
        <w:t xml:space="preserve"> identified as male, </w:t>
      </w:r>
      <w:r w:rsidRPr="002249C3">
        <w:rPr>
          <w:rFonts w:eastAsia="Calibri"/>
          <w:u w:val="single"/>
        </w:rPr>
        <w:t>64.6% (44,225)</w:t>
      </w:r>
      <w:r w:rsidRPr="002249C3">
        <w:rPr>
          <w:rFonts w:eastAsia="Calibri"/>
        </w:rPr>
        <w:t xml:space="preserve"> identified as female, and </w:t>
      </w:r>
      <w:r w:rsidRPr="002249C3">
        <w:rPr>
          <w:rFonts w:eastAsia="Calibri"/>
          <w:u w:val="single"/>
        </w:rPr>
        <w:t>0.05% (33)</w:t>
      </w:r>
      <w:r w:rsidRPr="002249C3">
        <w:rPr>
          <w:rFonts w:eastAsia="Calibri"/>
        </w:rPr>
        <w:t xml:space="preserve"> identified as another gender identity (including transgender, non-binary, and other gender identities).  </w:t>
      </w:r>
    </w:p>
    <w:p w14:paraId="5179D7BB" w14:textId="77777777" w:rsidR="001C07E2" w:rsidRPr="002249C3" w:rsidRDefault="001C07E2" w:rsidP="001C07E2">
      <w:pPr>
        <w:ind w:left="1134" w:right="1134"/>
        <w:jc w:val="both"/>
        <w:rPr>
          <w:rFonts w:eastAsia="Calibri"/>
        </w:rPr>
      </w:pPr>
    </w:p>
    <w:p w14:paraId="4A55F18E" w14:textId="77777777" w:rsidR="001C07E2" w:rsidRPr="000F5A44" w:rsidRDefault="001C07E2" w:rsidP="001C07E2">
      <w:pPr>
        <w:ind w:left="1134" w:right="1134"/>
        <w:jc w:val="both"/>
        <w:rPr>
          <w:rFonts w:eastAsia="Calibri"/>
        </w:rPr>
      </w:pPr>
      <w:r w:rsidRPr="002249C3">
        <w:rPr>
          <w:rFonts w:eastAsia="Calibri"/>
        </w:rPr>
        <w:t xml:space="preserve">Of the </w:t>
      </w:r>
      <w:r w:rsidRPr="002249C3">
        <w:rPr>
          <w:rFonts w:eastAsia="Calibri"/>
          <w:u w:val="single"/>
        </w:rPr>
        <w:t>94,912</w:t>
      </w:r>
      <w:r w:rsidRPr="002249C3">
        <w:rPr>
          <w:rFonts w:eastAsia="Calibri"/>
        </w:rPr>
        <w:t xml:space="preserve"> older people supported, </w:t>
      </w:r>
      <w:r w:rsidRPr="002249C3">
        <w:rPr>
          <w:rFonts w:eastAsia="Calibri"/>
          <w:b/>
          <w:bCs/>
        </w:rPr>
        <w:t>age data</w:t>
      </w:r>
      <w:r w:rsidRPr="002249C3">
        <w:rPr>
          <w:rFonts w:eastAsia="Calibri"/>
        </w:rPr>
        <w:t xml:space="preserve"> was available for </w:t>
      </w:r>
      <w:r w:rsidRPr="002249C3">
        <w:rPr>
          <w:rFonts w:eastAsia="Calibri"/>
          <w:u w:val="single"/>
        </w:rPr>
        <w:t>41.1% (38,989)</w:t>
      </w:r>
      <w:r w:rsidRPr="002249C3">
        <w:rPr>
          <w:rFonts w:eastAsia="Calibri"/>
        </w:rPr>
        <w:t xml:space="preserve">. </w:t>
      </w:r>
    </w:p>
    <w:p w14:paraId="5E20BF82" w14:textId="77777777" w:rsidR="001C07E2" w:rsidRPr="000F5A44" w:rsidRDefault="001C07E2" w:rsidP="001C07E2">
      <w:pPr>
        <w:ind w:left="1134" w:right="1134"/>
        <w:jc w:val="both"/>
        <w:rPr>
          <w:rFonts w:eastAsia="Calibri"/>
        </w:rPr>
      </w:pPr>
    </w:p>
    <w:p w14:paraId="295FBFC9" w14:textId="77777777" w:rsidR="001C07E2" w:rsidRPr="002249C3" w:rsidRDefault="001C07E2" w:rsidP="001C07E2">
      <w:pPr>
        <w:ind w:left="1134" w:right="1134"/>
        <w:jc w:val="both"/>
        <w:rPr>
          <w:rFonts w:eastAsia="Calibri"/>
        </w:rPr>
      </w:pPr>
      <w:r w:rsidRPr="002249C3">
        <w:rPr>
          <w:rFonts w:eastAsia="Calibri"/>
        </w:rPr>
        <w:t xml:space="preserve">The average age was </w:t>
      </w:r>
      <w:r w:rsidRPr="002249C3">
        <w:rPr>
          <w:rFonts w:eastAsia="Calibri"/>
          <w:u w:val="single"/>
        </w:rPr>
        <w:t>75.9,</w:t>
      </w:r>
      <w:r w:rsidRPr="002249C3">
        <w:rPr>
          <w:rFonts w:eastAsia="Calibri"/>
        </w:rPr>
        <w:t xml:space="preserve"> and the median age was </w:t>
      </w:r>
      <w:r w:rsidRPr="002249C3">
        <w:rPr>
          <w:rFonts w:eastAsia="Calibri"/>
          <w:u w:val="single"/>
        </w:rPr>
        <w:t>78</w:t>
      </w:r>
      <w:r w:rsidRPr="002249C3">
        <w:rPr>
          <w:rFonts w:eastAsia="Calibri"/>
        </w:rPr>
        <w:t xml:space="preserve">. Please see </w:t>
      </w:r>
      <w:r>
        <w:rPr>
          <w:rFonts w:eastAsia="Calibri"/>
        </w:rPr>
        <w:t xml:space="preserve">graphs </w:t>
      </w:r>
      <w:r w:rsidRPr="002249C3">
        <w:rPr>
          <w:rFonts w:eastAsia="Calibri"/>
        </w:rPr>
        <w:t xml:space="preserve">in </w:t>
      </w:r>
      <w:r>
        <w:rPr>
          <w:rFonts w:eastAsia="Calibri"/>
        </w:rPr>
        <w:t>Appendix E.</w:t>
      </w:r>
      <w:r w:rsidRPr="002249C3">
        <w:rPr>
          <w:rFonts w:eastAsia="Calibri"/>
        </w:rPr>
        <w:t> </w:t>
      </w:r>
    </w:p>
    <w:p w14:paraId="594D4887" w14:textId="77777777" w:rsidR="001C07E2" w:rsidRPr="002249C3" w:rsidRDefault="001C07E2" w:rsidP="001C07E2">
      <w:pPr>
        <w:ind w:left="1134" w:right="1134"/>
        <w:jc w:val="both"/>
        <w:rPr>
          <w:rFonts w:eastAsia="Calibri"/>
        </w:rPr>
      </w:pPr>
    </w:p>
    <w:p w14:paraId="04E439F7" w14:textId="77777777" w:rsidR="001C07E2" w:rsidRPr="000F5A44" w:rsidRDefault="001C07E2" w:rsidP="001C07E2">
      <w:pPr>
        <w:spacing w:after="160" w:line="259" w:lineRule="auto"/>
        <w:ind w:left="1134" w:right="1134"/>
        <w:jc w:val="both"/>
        <w:rPr>
          <w:rFonts w:eastAsia="Calibri"/>
          <w:b/>
          <w:bCs/>
          <w:kern w:val="2"/>
          <w:lang w:eastAsia="en-US"/>
          <w14:ligatures w14:val="standardContextual"/>
        </w:rPr>
      </w:pPr>
      <w:r w:rsidRPr="000F5A44">
        <w:rPr>
          <w:rFonts w:eastAsia="Calibri"/>
          <w:b/>
          <w:bCs/>
          <w:kern w:val="2"/>
          <w:lang w:eastAsia="en-US"/>
          <w14:ligatures w14:val="standardContextual"/>
        </w:rPr>
        <w:t xml:space="preserve">Age </w:t>
      </w:r>
      <w:bookmarkStart w:id="2" w:name="_Hlk174448383"/>
      <w:r w:rsidRPr="000F5A44">
        <w:rPr>
          <w:rFonts w:eastAsia="Calibri"/>
          <w:b/>
          <w:bCs/>
          <w:kern w:val="2"/>
          <w:lang w:eastAsia="en-US"/>
          <w14:ligatures w14:val="standardContextual"/>
        </w:rPr>
        <w:t>a</w:t>
      </w:r>
      <w:r w:rsidRPr="002249C3">
        <w:rPr>
          <w:rFonts w:eastAsia="Calibri"/>
          <w:b/>
          <w:bCs/>
          <w:kern w:val="2"/>
          <w:lang w:eastAsia="en-US"/>
          <w14:ligatures w14:val="standardContextual"/>
        </w:rPr>
        <w:t>cross the four non I&amp;A intervention</w:t>
      </w:r>
      <w:r w:rsidRPr="000F5A44">
        <w:rPr>
          <w:rFonts w:eastAsia="Calibri"/>
          <w:b/>
          <w:bCs/>
          <w:kern w:val="2"/>
          <w:lang w:eastAsia="en-US"/>
          <w14:ligatures w14:val="standardContextual"/>
        </w:rPr>
        <w:t xml:space="preserve"> </w:t>
      </w:r>
      <w:r w:rsidRPr="002249C3">
        <w:rPr>
          <w:rFonts w:eastAsia="Calibri"/>
          <w:b/>
          <w:bCs/>
          <w:kern w:val="2"/>
          <w:lang w:eastAsia="en-US"/>
          <w14:ligatures w14:val="standardContextual"/>
        </w:rPr>
        <w:t>areas</w:t>
      </w:r>
      <w:bookmarkEnd w:id="2"/>
    </w:p>
    <w:p w14:paraId="429060D1" w14:textId="77777777" w:rsidR="001C07E2" w:rsidRPr="002249C3" w:rsidRDefault="001C07E2" w:rsidP="001C07E2">
      <w:pPr>
        <w:spacing w:after="160" w:line="259" w:lineRule="auto"/>
        <w:ind w:left="1134" w:right="1134"/>
        <w:jc w:val="both"/>
        <w:rPr>
          <w:rFonts w:eastAsia="Calibri"/>
          <w:kern w:val="2"/>
          <w:lang w:eastAsia="en-US"/>
          <w14:ligatures w14:val="standardContextual"/>
        </w:rPr>
      </w:pPr>
      <w:r w:rsidRPr="000F5A44">
        <w:rPr>
          <w:rFonts w:eastAsia="Calibri"/>
          <w:kern w:val="2"/>
          <w:lang w:eastAsia="en-US"/>
          <w14:ligatures w14:val="standardContextual"/>
        </w:rPr>
        <w:t>A</w:t>
      </w:r>
      <w:r w:rsidRPr="002249C3">
        <w:rPr>
          <w:rFonts w:eastAsia="Calibri"/>
          <w:kern w:val="2"/>
          <w:lang w:eastAsia="en-US"/>
          <w14:ligatures w14:val="standardContextual"/>
        </w:rPr>
        <w:t xml:space="preserve">verage age was similar </w:t>
      </w:r>
      <w:r w:rsidRPr="000F5A44">
        <w:rPr>
          <w:rFonts w:eastAsia="Calibri"/>
          <w:kern w:val="2"/>
          <w:lang w:eastAsia="en-US"/>
          <w14:ligatures w14:val="standardContextual"/>
        </w:rPr>
        <w:t xml:space="preserve">across the four non I&amp;A intervention areas </w:t>
      </w:r>
      <w:r w:rsidRPr="002249C3">
        <w:rPr>
          <w:rFonts w:eastAsia="Calibri"/>
          <w:kern w:val="2"/>
          <w:lang w:eastAsia="en-US"/>
          <w14:ligatures w14:val="standardContextual"/>
        </w:rPr>
        <w:t xml:space="preserve">with only </w:t>
      </w:r>
      <w:r w:rsidRPr="002249C3">
        <w:rPr>
          <w:rFonts w:eastAsia="Calibri"/>
          <w:kern w:val="2"/>
          <w:u w:val="single"/>
          <w:lang w:eastAsia="en-US"/>
          <w14:ligatures w14:val="standardContextual"/>
        </w:rPr>
        <w:t>1.7</w:t>
      </w:r>
      <w:r w:rsidRPr="002249C3">
        <w:rPr>
          <w:rFonts w:eastAsia="Calibri"/>
          <w:kern w:val="2"/>
          <w:lang w:eastAsia="en-US"/>
          <w14:ligatures w14:val="standardContextual"/>
        </w:rPr>
        <w:t xml:space="preserve"> years separating Home Support</w:t>
      </w:r>
      <w:r w:rsidRPr="000F5A44">
        <w:rPr>
          <w:rFonts w:eastAsia="Calibri"/>
          <w:kern w:val="2"/>
          <w:lang w:eastAsia="en-US"/>
          <w14:ligatures w14:val="standardContextual"/>
        </w:rPr>
        <w:t xml:space="preserve">, with an average age of </w:t>
      </w:r>
      <w:r w:rsidRPr="002249C3">
        <w:rPr>
          <w:rFonts w:eastAsia="Calibri"/>
          <w:kern w:val="2"/>
          <w:u w:val="single"/>
          <w:lang w:eastAsia="en-US"/>
          <w14:ligatures w14:val="standardContextual"/>
        </w:rPr>
        <w:t>78.98</w:t>
      </w:r>
      <w:r w:rsidRPr="002249C3">
        <w:rPr>
          <w:rFonts w:eastAsia="Calibri"/>
          <w:kern w:val="2"/>
          <w:lang w:eastAsia="en-US"/>
          <w14:ligatures w14:val="standardContextual"/>
        </w:rPr>
        <w:t xml:space="preserve"> years</w:t>
      </w:r>
      <w:r w:rsidRPr="000F5A44">
        <w:rPr>
          <w:rFonts w:eastAsia="Calibri"/>
          <w:kern w:val="2"/>
          <w:lang w:eastAsia="en-US"/>
          <w14:ligatures w14:val="standardContextual"/>
        </w:rPr>
        <w:t xml:space="preserve"> </w:t>
      </w:r>
      <w:r w:rsidRPr="002249C3">
        <w:rPr>
          <w:rFonts w:eastAsia="Calibri"/>
          <w:kern w:val="2"/>
          <w:lang w:eastAsia="en-US"/>
          <w14:ligatures w14:val="standardContextual"/>
        </w:rPr>
        <w:t>and Meals</w:t>
      </w:r>
      <w:r w:rsidRPr="000F5A44">
        <w:rPr>
          <w:rFonts w:eastAsia="Calibri"/>
          <w:kern w:val="2"/>
          <w:lang w:eastAsia="en-US"/>
          <w14:ligatures w14:val="standardContextual"/>
        </w:rPr>
        <w:t xml:space="preserve"> with average age of</w:t>
      </w:r>
      <w:r w:rsidRPr="002249C3">
        <w:rPr>
          <w:rFonts w:eastAsia="Calibri"/>
          <w:kern w:val="2"/>
          <w:lang w:eastAsia="en-US"/>
          <w14:ligatures w14:val="standardContextual"/>
        </w:rPr>
        <w:t xml:space="preserve"> </w:t>
      </w:r>
      <w:r w:rsidRPr="002249C3">
        <w:rPr>
          <w:rFonts w:eastAsia="Calibri"/>
          <w:kern w:val="2"/>
          <w:u w:val="single"/>
          <w:lang w:eastAsia="en-US"/>
          <w14:ligatures w14:val="standardContextual"/>
        </w:rPr>
        <w:t>76.64</w:t>
      </w:r>
      <w:r w:rsidRPr="002249C3">
        <w:rPr>
          <w:rFonts w:eastAsia="Calibri"/>
          <w:kern w:val="2"/>
          <w:lang w:eastAsia="en-US"/>
          <w14:ligatures w14:val="standardContextual"/>
        </w:rPr>
        <w:t xml:space="preserve"> years. However, the distribution of the ages of people supported varied between Partners. </w:t>
      </w:r>
    </w:p>
    <w:tbl>
      <w:tblPr>
        <w:tblStyle w:val="GridTable4-Accent52"/>
        <w:tblW w:w="7083" w:type="dxa"/>
        <w:tblInd w:w="1270" w:type="dxa"/>
        <w:tblLook w:val="04A0" w:firstRow="1" w:lastRow="0" w:firstColumn="1" w:lastColumn="0" w:noHBand="0" w:noVBand="1"/>
      </w:tblPr>
      <w:tblGrid>
        <w:gridCol w:w="3114"/>
        <w:gridCol w:w="1385"/>
        <w:gridCol w:w="1308"/>
        <w:gridCol w:w="1276"/>
      </w:tblGrid>
      <w:tr w:rsidR="001C07E2" w:rsidRPr="002249C3" w14:paraId="10D5544C" w14:textId="77777777" w:rsidTr="00CF09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7DF1296" w14:textId="77777777" w:rsidR="001C07E2" w:rsidRPr="002249C3" w:rsidRDefault="001C07E2" w:rsidP="00CF0986">
            <w:pPr>
              <w:spacing w:after="160" w:line="259" w:lineRule="auto"/>
              <w:ind w:left="0"/>
              <w:jc w:val="both"/>
              <w:rPr>
                <w:rFonts w:eastAsia="Times New Roman"/>
                <w:color w:val="000000"/>
              </w:rPr>
            </w:pPr>
            <w:r w:rsidRPr="002249C3">
              <w:rPr>
                <w:rFonts w:eastAsia="Times New Roman"/>
                <w:color w:val="000000"/>
              </w:rPr>
              <w:t>Intervention</w:t>
            </w:r>
          </w:p>
        </w:tc>
        <w:tc>
          <w:tcPr>
            <w:tcW w:w="1385" w:type="dxa"/>
            <w:noWrap/>
            <w:hideMark/>
          </w:tcPr>
          <w:p w14:paraId="03D8C41C" w14:textId="77777777" w:rsidR="001C07E2" w:rsidRPr="002249C3" w:rsidRDefault="001C07E2" w:rsidP="00CF0986">
            <w:pPr>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2249C3">
              <w:rPr>
                <w:rFonts w:eastAsia="Times New Roman"/>
                <w:color w:val="000000"/>
              </w:rPr>
              <w:t>Average Age</w:t>
            </w:r>
          </w:p>
        </w:tc>
        <w:tc>
          <w:tcPr>
            <w:tcW w:w="1308" w:type="dxa"/>
          </w:tcPr>
          <w:p w14:paraId="2DE821D1" w14:textId="77777777" w:rsidR="001C07E2" w:rsidRPr="002249C3" w:rsidRDefault="001C07E2" w:rsidP="00CF0986">
            <w:pPr>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2249C3">
              <w:rPr>
                <w:rFonts w:eastAsia="Calibri"/>
                <w:color w:val="000000"/>
                <w:lang w:eastAsia="en-US"/>
              </w:rPr>
              <w:t>69 or below</w:t>
            </w:r>
          </w:p>
        </w:tc>
        <w:tc>
          <w:tcPr>
            <w:tcW w:w="1276" w:type="dxa"/>
          </w:tcPr>
          <w:p w14:paraId="3D6618E1" w14:textId="77777777" w:rsidR="001C07E2" w:rsidRPr="002249C3" w:rsidRDefault="001C07E2" w:rsidP="00CF0986">
            <w:pPr>
              <w:spacing w:after="160" w:line="259" w:lineRule="auto"/>
              <w:ind w:left="0"/>
              <w:jc w:val="both"/>
              <w:cnfStyle w:val="100000000000" w:firstRow="1" w:lastRow="0" w:firstColumn="0" w:lastColumn="0" w:oddVBand="0" w:evenVBand="0" w:oddHBand="0" w:evenHBand="0" w:firstRowFirstColumn="0" w:firstRowLastColumn="0" w:lastRowFirstColumn="0" w:lastRowLastColumn="0"/>
              <w:rPr>
                <w:rFonts w:eastAsia="Calibri"/>
                <w:color w:val="000000"/>
                <w:lang w:eastAsia="en-US"/>
              </w:rPr>
            </w:pPr>
            <w:r w:rsidRPr="002249C3">
              <w:rPr>
                <w:rFonts w:eastAsia="Calibri"/>
                <w:color w:val="000000"/>
                <w:lang w:eastAsia="en-US"/>
              </w:rPr>
              <w:t>80+</w:t>
            </w:r>
          </w:p>
        </w:tc>
      </w:tr>
      <w:tr w:rsidR="001C07E2" w:rsidRPr="002249C3" w14:paraId="1C9122A5" w14:textId="77777777" w:rsidTr="00CF09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30F91F1" w14:textId="77777777" w:rsidR="001C07E2" w:rsidRPr="002249C3" w:rsidRDefault="001C07E2" w:rsidP="00CF0986">
            <w:pPr>
              <w:spacing w:after="160" w:line="259" w:lineRule="auto"/>
              <w:ind w:left="0"/>
              <w:jc w:val="both"/>
              <w:rPr>
                <w:rFonts w:eastAsia="Times New Roman"/>
                <w:color w:val="000000"/>
              </w:rPr>
            </w:pPr>
            <w:r w:rsidRPr="002249C3">
              <w:rPr>
                <w:rFonts w:eastAsia="Times New Roman"/>
                <w:color w:val="000000"/>
              </w:rPr>
              <w:t>Day Centre</w:t>
            </w:r>
          </w:p>
        </w:tc>
        <w:tc>
          <w:tcPr>
            <w:tcW w:w="1385" w:type="dxa"/>
            <w:noWrap/>
            <w:hideMark/>
          </w:tcPr>
          <w:p w14:paraId="675EBC71"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249C3">
              <w:rPr>
                <w:rFonts w:eastAsia="Times New Roman"/>
                <w:color w:val="000000"/>
              </w:rPr>
              <w:t>78.41</w:t>
            </w:r>
          </w:p>
        </w:tc>
        <w:tc>
          <w:tcPr>
            <w:tcW w:w="1308" w:type="dxa"/>
          </w:tcPr>
          <w:p w14:paraId="3870187D"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249C3">
              <w:rPr>
                <w:rFonts w:eastAsia="Calibri"/>
                <w:color w:val="000000"/>
                <w:lang w:eastAsia="en-US"/>
              </w:rPr>
              <w:t>16.15%</w:t>
            </w:r>
          </w:p>
        </w:tc>
        <w:tc>
          <w:tcPr>
            <w:tcW w:w="1276" w:type="dxa"/>
          </w:tcPr>
          <w:p w14:paraId="3F683A4B"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2249C3">
              <w:rPr>
                <w:rFonts w:eastAsia="Calibri"/>
                <w:color w:val="000000"/>
                <w:lang w:eastAsia="en-US"/>
              </w:rPr>
              <w:t>48.02%</w:t>
            </w:r>
          </w:p>
        </w:tc>
      </w:tr>
      <w:tr w:rsidR="001C07E2" w:rsidRPr="002249C3" w14:paraId="1A8A6C29" w14:textId="77777777" w:rsidTr="00CF0986">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6EACDCA" w14:textId="77777777" w:rsidR="001C07E2" w:rsidRPr="002249C3" w:rsidRDefault="001C07E2" w:rsidP="00CF0986">
            <w:pPr>
              <w:spacing w:after="160" w:line="259" w:lineRule="auto"/>
              <w:ind w:left="0"/>
              <w:jc w:val="both"/>
              <w:rPr>
                <w:rFonts w:eastAsia="Times New Roman"/>
                <w:color w:val="000000"/>
              </w:rPr>
            </w:pPr>
            <w:r w:rsidRPr="002249C3">
              <w:rPr>
                <w:rFonts w:eastAsia="Times New Roman"/>
                <w:color w:val="000000"/>
              </w:rPr>
              <w:t>Home Support</w:t>
            </w:r>
          </w:p>
        </w:tc>
        <w:tc>
          <w:tcPr>
            <w:tcW w:w="1385" w:type="dxa"/>
            <w:noWrap/>
            <w:hideMark/>
          </w:tcPr>
          <w:p w14:paraId="78E57A8C"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249C3">
              <w:rPr>
                <w:rFonts w:eastAsia="Times New Roman"/>
                <w:color w:val="000000"/>
              </w:rPr>
              <w:t>78.98</w:t>
            </w:r>
          </w:p>
        </w:tc>
        <w:tc>
          <w:tcPr>
            <w:tcW w:w="1308" w:type="dxa"/>
          </w:tcPr>
          <w:p w14:paraId="169B4798"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249C3">
              <w:rPr>
                <w:rFonts w:eastAsia="Calibri"/>
                <w:color w:val="000000"/>
                <w:lang w:eastAsia="en-US"/>
              </w:rPr>
              <w:t>17.33%</w:t>
            </w:r>
          </w:p>
        </w:tc>
        <w:tc>
          <w:tcPr>
            <w:tcW w:w="1276" w:type="dxa"/>
          </w:tcPr>
          <w:p w14:paraId="5E165A13"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2249C3">
              <w:rPr>
                <w:rFonts w:eastAsia="Calibri"/>
                <w:color w:val="000000"/>
                <w:lang w:eastAsia="en-US"/>
              </w:rPr>
              <w:t>52.03%</w:t>
            </w:r>
          </w:p>
        </w:tc>
      </w:tr>
      <w:tr w:rsidR="001C07E2" w:rsidRPr="002249C3" w14:paraId="4826A0A4" w14:textId="77777777" w:rsidTr="00CF09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B6431E4" w14:textId="77777777" w:rsidR="001C07E2" w:rsidRPr="002249C3" w:rsidRDefault="001C07E2" w:rsidP="00CF0986">
            <w:pPr>
              <w:spacing w:after="160" w:line="259" w:lineRule="auto"/>
              <w:ind w:left="0"/>
              <w:jc w:val="both"/>
              <w:rPr>
                <w:rFonts w:eastAsia="Times New Roman"/>
                <w:color w:val="000000"/>
              </w:rPr>
            </w:pPr>
            <w:r w:rsidRPr="002249C3">
              <w:rPr>
                <w:rFonts w:eastAsia="Times New Roman"/>
                <w:color w:val="000000"/>
              </w:rPr>
              <w:t>Meals</w:t>
            </w:r>
          </w:p>
        </w:tc>
        <w:tc>
          <w:tcPr>
            <w:tcW w:w="1385" w:type="dxa"/>
            <w:noWrap/>
            <w:hideMark/>
          </w:tcPr>
          <w:p w14:paraId="5DDADF3A"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249C3">
              <w:rPr>
                <w:rFonts w:eastAsia="Times New Roman"/>
                <w:color w:val="000000"/>
              </w:rPr>
              <w:t>76.64</w:t>
            </w:r>
          </w:p>
        </w:tc>
        <w:tc>
          <w:tcPr>
            <w:tcW w:w="1308" w:type="dxa"/>
          </w:tcPr>
          <w:p w14:paraId="30B2A763"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2249C3">
              <w:rPr>
                <w:rFonts w:eastAsia="Calibri"/>
                <w:color w:val="000000"/>
                <w:lang w:eastAsia="en-US"/>
              </w:rPr>
              <w:t>22.24%</w:t>
            </w:r>
          </w:p>
        </w:tc>
        <w:tc>
          <w:tcPr>
            <w:tcW w:w="1276" w:type="dxa"/>
          </w:tcPr>
          <w:p w14:paraId="50CC4958" w14:textId="77777777" w:rsidR="001C07E2" w:rsidRPr="002249C3" w:rsidRDefault="001C07E2" w:rsidP="00CF0986">
            <w:pPr>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2249C3">
              <w:rPr>
                <w:rFonts w:eastAsia="Calibri"/>
                <w:color w:val="000000"/>
                <w:lang w:eastAsia="en-US"/>
              </w:rPr>
              <w:t>49.39%</w:t>
            </w:r>
          </w:p>
        </w:tc>
      </w:tr>
      <w:tr w:rsidR="001C07E2" w:rsidRPr="002249C3" w14:paraId="68B2625F" w14:textId="77777777" w:rsidTr="00CF0986">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CED8E18" w14:textId="77777777" w:rsidR="001C07E2" w:rsidRPr="002249C3" w:rsidRDefault="001C07E2" w:rsidP="00CF0986">
            <w:pPr>
              <w:spacing w:after="160" w:line="259" w:lineRule="auto"/>
              <w:ind w:left="0"/>
              <w:rPr>
                <w:rFonts w:eastAsia="Times New Roman"/>
                <w:color w:val="000000"/>
              </w:rPr>
            </w:pPr>
            <w:r w:rsidRPr="002249C3">
              <w:rPr>
                <w:rFonts w:eastAsia="Times New Roman"/>
                <w:color w:val="000000"/>
              </w:rPr>
              <w:t>Physical and Social Activities</w:t>
            </w:r>
          </w:p>
        </w:tc>
        <w:tc>
          <w:tcPr>
            <w:tcW w:w="1385" w:type="dxa"/>
            <w:noWrap/>
            <w:hideMark/>
          </w:tcPr>
          <w:p w14:paraId="1070F262"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249C3">
              <w:rPr>
                <w:rFonts w:eastAsia="Times New Roman"/>
                <w:color w:val="000000"/>
              </w:rPr>
              <w:t>78.34</w:t>
            </w:r>
          </w:p>
        </w:tc>
        <w:tc>
          <w:tcPr>
            <w:tcW w:w="1308" w:type="dxa"/>
          </w:tcPr>
          <w:p w14:paraId="580F4DE6"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2249C3">
              <w:rPr>
                <w:rFonts w:eastAsia="Calibri"/>
                <w:color w:val="000000"/>
                <w:lang w:eastAsia="en-US"/>
              </w:rPr>
              <w:t>20.15%</w:t>
            </w:r>
          </w:p>
        </w:tc>
        <w:tc>
          <w:tcPr>
            <w:tcW w:w="1276" w:type="dxa"/>
          </w:tcPr>
          <w:p w14:paraId="5E2C6883" w14:textId="77777777" w:rsidR="001C07E2" w:rsidRPr="002249C3" w:rsidRDefault="001C07E2" w:rsidP="00CF0986">
            <w:pPr>
              <w:spacing w:after="160" w:line="259" w:lineRule="auto"/>
              <w:ind w:left="0"/>
              <w:jc w:val="both"/>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2249C3">
              <w:rPr>
                <w:rFonts w:eastAsia="Calibri"/>
                <w:color w:val="000000"/>
                <w:lang w:eastAsia="en-US"/>
              </w:rPr>
              <w:t>38.18%</w:t>
            </w:r>
          </w:p>
        </w:tc>
      </w:tr>
    </w:tbl>
    <w:p w14:paraId="1E74CF39" w14:textId="77777777" w:rsidR="001C07E2" w:rsidRPr="002249C3" w:rsidRDefault="001C07E2" w:rsidP="001C07E2">
      <w:pPr>
        <w:spacing w:after="160" w:line="259" w:lineRule="auto"/>
        <w:ind w:left="0" w:right="1134"/>
        <w:jc w:val="both"/>
        <w:rPr>
          <w:rFonts w:eastAsia="Calibri"/>
          <w:kern w:val="2"/>
          <w:lang w:eastAsia="en-US"/>
          <w14:ligatures w14:val="standardContextual"/>
        </w:rPr>
      </w:pPr>
    </w:p>
    <w:p w14:paraId="023E8917" w14:textId="77777777" w:rsidR="001C07E2" w:rsidRPr="000F5A44" w:rsidRDefault="001C07E2" w:rsidP="001C07E2">
      <w:pPr>
        <w:spacing w:after="160" w:line="259" w:lineRule="auto"/>
        <w:ind w:left="1134" w:right="1134"/>
        <w:jc w:val="both"/>
        <w:rPr>
          <w:rFonts w:eastAsia="Calibri"/>
          <w:kern w:val="2"/>
          <w:lang w:eastAsia="en-US"/>
          <w14:ligatures w14:val="standardContextual"/>
        </w:rPr>
      </w:pPr>
      <w:r>
        <w:rPr>
          <w:rFonts w:eastAsia="Calibri"/>
          <w:kern w:val="2"/>
          <w:lang w:eastAsia="en-US"/>
          <w14:ligatures w14:val="standardContextual"/>
        </w:rPr>
        <w:t xml:space="preserve">Where data was available, </w:t>
      </w:r>
      <w:r w:rsidRPr="002249C3">
        <w:rPr>
          <w:rFonts w:eastAsia="Calibri"/>
          <w:kern w:val="2"/>
          <w:lang w:eastAsia="en-US"/>
          <w14:ligatures w14:val="standardContextual"/>
        </w:rPr>
        <w:t>Physical and Social Activit</w:t>
      </w:r>
      <w:r>
        <w:rPr>
          <w:rFonts w:eastAsia="Calibri"/>
          <w:kern w:val="2"/>
          <w:lang w:eastAsia="en-US"/>
          <w14:ligatures w14:val="standardContextual"/>
        </w:rPr>
        <w:t xml:space="preserve">ies funded by the Cost of Living Response Fund </w:t>
      </w:r>
      <w:r w:rsidRPr="000F5A44">
        <w:rPr>
          <w:rFonts w:eastAsia="Calibri"/>
          <w:kern w:val="2"/>
          <w:lang w:eastAsia="en-US"/>
          <w14:ligatures w14:val="standardContextual"/>
        </w:rPr>
        <w:t xml:space="preserve">supported </w:t>
      </w:r>
      <w:r>
        <w:rPr>
          <w:rFonts w:eastAsia="Calibri"/>
          <w:kern w:val="2"/>
          <w:lang w:eastAsia="en-US"/>
          <w14:ligatures w14:val="standardContextual"/>
        </w:rPr>
        <w:t>fewer</w:t>
      </w:r>
      <w:r w:rsidRPr="000F5A44">
        <w:rPr>
          <w:rFonts w:eastAsia="Calibri"/>
          <w:kern w:val="2"/>
          <w:lang w:eastAsia="en-US"/>
          <w14:ligatures w14:val="standardContextual"/>
        </w:rPr>
        <w:t xml:space="preserve"> people over the age of 80 </w:t>
      </w:r>
      <w:r w:rsidRPr="002249C3">
        <w:rPr>
          <w:rFonts w:eastAsia="Calibri"/>
          <w:kern w:val="2"/>
          <w:lang w:eastAsia="en-US"/>
          <w14:ligatures w14:val="standardContextual"/>
        </w:rPr>
        <w:t xml:space="preserve">at only </w:t>
      </w:r>
      <w:r w:rsidRPr="002249C3">
        <w:rPr>
          <w:rFonts w:eastAsia="Calibri"/>
          <w:kern w:val="2"/>
          <w:u w:val="single"/>
          <w:lang w:eastAsia="en-US"/>
          <w14:ligatures w14:val="standardContextual"/>
        </w:rPr>
        <w:t>38.18%</w:t>
      </w:r>
      <w:r w:rsidRPr="000F5A44">
        <w:rPr>
          <w:rFonts w:eastAsia="Calibri"/>
          <w:kern w:val="2"/>
          <w:u w:val="single"/>
          <w:lang w:eastAsia="en-US"/>
          <w14:ligatures w14:val="standardContextual"/>
        </w:rPr>
        <w:t xml:space="preserve"> </w:t>
      </w:r>
      <w:r w:rsidRPr="000F5A44">
        <w:rPr>
          <w:rFonts w:eastAsia="Calibri"/>
          <w:kern w:val="2"/>
          <w:lang w:eastAsia="en-US"/>
          <w14:ligatures w14:val="standardContextual"/>
        </w:rPr>
        <w:t>accessing this type of support in comparison to t</w:t>
      </w:r>
      <w:r w:rsidRPr="002249C3">
        <w:rPr>
          <w:rFonts w:eastAsia="Calibri"/>
          <w:kern w:val="2"/>
          <w:lang w:eastAsia="en-US"/>
          <w14:ligatures w14:val="standardContextual"/>
        </w:rPr>
        <w:t>he other intervention</w:t>
      </w:r>
      <w:r w:rsidRPr="000F5A44">
        <w:rPr>
          <w:rFonts w:eastAsia="Calibri"/>
          <w:kern w:val="2"/>
          <w:lang w:eastAsia="en-US"/>
          <w14:ligatures w14:val="standardContextual"/>
        </w:rPr>
        <w:t xml:space="preserve"> areas which </w:t>
      </w:r>
      <w:r w:rsidRPr="002249C3">
        <w:rPr>
          <w:rFonts w:eastAsia="Calibri"/>
          <w:kern w:val="2"/>
          <w:lang w:eastAsia="en-US"/>
          <w14:ligatures w14:val="standardContextual"/>
        </w:rPr>
        <w:t xml:space="preserve">all had close to </w:t>
      </w:r>
      <w:r w:rsidRPr="002249C3">
        <w:rPr>
          <w:rFonts w:eastAsia="Calibri"/>
          <w:kern w:val="2"/>
          <w:u w:val="single"/>
          <w:lang w:eastAsia="en-US"/>
          <w14:ligatures w14:val="standardContextual"/>
        </w:rPr>
        <w:t>50%</w:t>
      </w:r>
      <w:r w:rsidRPr="002249C3">
        <w:rPr>
          <w:rFonts w:eastAsia="Calibri"/>
          <w:kern w:val="2"/>
          <w:lang w:eastAsia="en-US"/>
          <w14:ligatures w14:val="standardContextual"/>
        </w:rPr>
        <w:t xml:space="preserve"> of their participants aged 80</w:t>
      </w:r>
      <w:r w:rsidRPr="000F5A44">
        <w:rPr>
          <w:rFonts w:eastAsia="Calibri"/>
          <w:kern w:val="2"/>
          <w:lang w:eastAsia="en-US"/>
          <w14:ligatures w14:val="standardContextual"/>
        </w:rPr>
        <w:t xml:space="preserve"> or older</w:t>
      </w:r>
      <w:r w:rsidRPr="002249C3">
        <w:rPr>
          <w:rFonts w:eastAsia="Calibri"/>
          <w:kern w:val="2"/>
          <w:lang w:eastAsia="en-US"/>
          <w14:ligatures w14:val="standardContextual"/>
        </w:rPr>
        <w:t xml:space="preserve">. </w:t>
      </w:r>
    </w:p>
    <w:p w14:paraId="341DE07E" w14:textId="77777777" w:rsidR="001C07E2" w:rsidRPr="002249C3" w:rsidRDefault="001C07E2" w:rsidP="001C07E2">
      <w:pPr>
        <w:spacing w:after="160" w:line="259" w:lineRule="auto"/>
        <w:ind w:left="1134" w:right="1134"/>
        <w:jc w:val="both"/>
        <w:rPr>
          <w:rFonts w:eastAsia="Calibri"/>
          <w:kern w:val="2"/>
          <w:lang w:eastAsia="en-US"/>
          <w14:ligatures w14:val="standardContextual"/>
        </w:rPr>
      </w:pPr>
      <w:r w:rsidRPr="002249C3">
        <w:rPr>
          <w:rFonts w:eastAsia="Calibri"/>
          <w:kern w:val="2"/>
          <w:lang w:eastAsia="en-US"/>
          <w14:ligatures w14:val="standardContextual"/>
        </w:rPr>
        <w:t>Physical and Social activities had a quarter (</w:t>
      </w:r>
      <w:r w:rsidRPr="002249C3">
        <w:rPr>
          <w:rFonts w:eastAsia="Calibri"/>
          <w:kern w:val="2"/>
          <w:u w:val="single"/>
          <w:lang w:eastAsia="en-US"/>
          <w14:ligatures w14:val="standardContextual"/>
        </w:rPr>
        <w:t>25.47%)</w:t>
      </w:r>
      <w:r w:rsidRPr="002249C3">
        <w:rPr>
          <w:rFonts w:eastAsia="Calibri"/>
          <w:kern w:val="2"/>
          <w:lang w:eastAsia="en-US"/>
          <w14:ligatures w14:val="standardContextual"/>
        </w:rPr>
        <w:t xml:space="preserve"> of clients in the age range </w:t>
      </w:r>
      <w:r>
        <w:rPr>
          <w:rFonts w:eastAsia="Calibri"/>
          <w:kern w:val="2"/>
          <w:lang w:eastAsia="en-US"/>
          <w14:ligatures w14:val="standardContextual"/>
        </w:rPr>
        <w:t xml:space="preserve">of </w:t>
      </w:r>
      <w:r w:rsidRPr="002249C3">
        <w:rPr>
          <w:rFonts w:eastAsia="Calibri"/>
          <w:kern w:val="2"/>
          <w:lang w:eastAsia="en-US"/>
          <w14:ligatures w14:val="standardContextual"/>
        </w:rPr>
        <w:t xml:space="preserve">75-79, this was the largest </w:t>
      </w:r>
      <w:r>
        <w:rPr>
          <w:rFonts w:eastAsia="Calibri"/>
          <w:kern w:val="2"/>
          <w:lang w:eastAsia="en-US"/>
          <w14:ligatures w14:val="standardContextual"/>
        </w:rPr>
        <w:t xml:space="preserve">group </w:t>
      </w:r>
      <w:r w:rsidRPr="002249C3">
        <w:rPr>
          <w:rFonts w:eastAsia="Calibri"/>
          <w:kern w:val="2"/>
          <w:lang w:eastAsia="en-US"/>
          <w14:ligatures w14:val="standardContextual"/>
        </w:rPr>
        <w:t>amongst the four intervention</w:t>
      </w:r>
      <w:r w:rsidRPr="000F5A44">
        <w:rPr>
          <w:rFonts w:eastAsia="Calibri"/>
          <w:kern w:val="2"/>
          <w:lang w:eastAsia="en-US"/>
          <w14:ligatures w14:val="standardContextual"/>
        </w:rPr>
        <w:t xml:space="preserve"> areas</w:t>
      </w:r>
      <w:r w:rsidRPr="002249C3">
        <w:rPr>
          <w:rFonts w:eastAsia="Calibri"/>
          <w:kern w:val="2"/>
          <w:lang w:eastAsia="en-US"/>
          <w14:ligatures w14:val="standardContextual"/>
        </w:rPr>
        <w:t xml:space="preserve">. </w:t>
      </w:r>
    </w:p>
    <w:p w14:paraId="793A10E6" w14:textId="77777777" w:rsidR="001C07E2" w:rsidRPr="002249C3" w:rsidRDefault="001C07E2" w:rsidP="001C07E2">
      <w:pPr>
        <w:spacing w:after="160" w:line="259" w:lineRule="auto"/>
        <w:ind w:left="1134" w:right="1134"/>
        <w:jc w:val="both"/>
        <w:rPr>
          <w:rFonts w:eastAsia="Calibri"/>
          <w:b/>
          <w:bCs/>
          <w:kern w:val="2"/>
          <w:lang w:eastAsia="en-US"/>
          <w14:ligatures w14:val="standardContextual"/>
        </w:rPr>
      </w:pPr>
      <w:r w:rsidRPr="002249C3">
        <w:rPr>
          <w:rFonts w:eastAsia="Calibri"/>
          <w:b/>
          <w:bCs/>
          <w:kern w:val="2"/>
          <w:lang w:eastAsia="en-US"/>
          <w14:ligatures w14:val="standardContextual"/>
        </w:rPr>
        <w:t>6.1 Index of Multiple Deprivation Data</w:t>
      </w:r>
      <w:r w:rsidRPr="000F5A44">
        <w:rPr>
          <w:rFonts w:eastAsia="Calibri"/>
          <w:b/>
          <w:bCs/>
          <w:kern w:val="2"/>
          <w:lang w:eastAsia="en-US"/>
          <w14:ligatures w14:val="standardContextual"/>
        </w:rPr>
        <w:t xml:space="preserve"> </w:t>
      </w:r>
      <w:r w:rsidRPr="002249C3">
        <w:rPr>
          <w:rFonts w:eastAsia="Calibri"/>
          <w:b/>
          <w:bCs/>
          <w:kern w:val="2"/>
          <w:lang w:eastAsia="en-US"/>
          <w14:ligatures w14:val="standardContextual"/>
        </w:rPr>
        <w:t>(IMD)</w:t>
      </w:r>
      <w:r w:rsidRPr="000F5A44">
        <w:rPr>
          <w:rFonts w:eastAsia="Calibri"/>
          <w:b/>
          <w:bCs/>
          <w:kern w:val="2"/>
          <w:lang w:eastAsia="en-US"/>
          <w14:ligatures w14:val="standardContextual"/>
        </w:rPr>
        <w:t xml:space="preserve"> for the four non I&amp;A Intervention areas</w:t>
      </w:r>
      <w:r w:rsidRPr="002249C3">
        <w:rPr>
          <w:rFonts w:eastAsia="Calibri"/>
          <w:b/>
          <w:bCs/>
          <w:kern w:val="2"/>
          <w:lang w:eastAsia="en-US"/>
          <w14:ligatures w14:val="standardContextual"/>
        </w:rPr>
        <w:t xml:space="preserve"> </w:t>
      </w:r>
    </w:p>
    <w:p w14:paraId="43A73134" w14:textId="77777777" w:rsidR="001C07E2" w:rsidRPr="000F5A44" w:rsidRDefault="001C07E2" w:rsidP="001C07E2">
      <w:pPr>
        <w:spacing w:after="160" w:line="259" w:lineRule="auto"/>
        <w:ind w:left="1134" w:right="1134"/>
        <w:jc w:val="both"/>
        <w:rPr>
          <w:rFonts w:eastAsia="Calibri"/>
          <w:kern w:val="2"/>
          <w:lang w:eastAsia="en-US"/>
          <w14:ligatures w14:val="standardContextual"/>
        </w:rPr>
      </w:pPr>
      <w:r w:rsidRPr="002249C3">
        <w:rPr>
          <w:rFonts w:eastAsia="Calibri"/>
          <w:kern w:val="2"/>
          <w:lang w:eastAsia="en-US"/>
          <w14:ligatures w14:val="standardContextual"/>
        </w:rPr>
        <w:t>When looking at the individuals reached through the four non-I&amp;A interventions, where a postcode was provided and therefore IMD data was avail</w:t>
      </w:r>
      <w:bookmarkStart w:id="3" w:name="_Hlk174448592"/>
      <w:r w:rsidRPr="002249C3">
        <w:rPr>
          <w:rFonts w:eastAsia="Calibri"/>
          <w:kern w:val="2"/>
          <w:lang w:eastAsia="en-US"/>
          <w14:ligatures w14:val="standardContextual"/>
        </w:rPr>
        <w:t xml:space="preserve">able, Meal Support was </w:t>
      </w:r>
      <w:r w:rsidRPr="000F5A44">
        <w:rPr>
          <w:rFonts w:eastAsia="Calibri"/>
          <w:kern w:val="2"/>
          <w:lang w:eastAsia="en-US"/>
          <w14:ligatures w14:val="standardContextual"/>
        </w:rPr>
        <w:t xml:space="preserve">shown to have </w:t>
      </w:r>
      <w:r w:rsidRPr="002249C3">
        <w:rPr>
          <w:rFonts w:eastAsia="Calibri"/>
          <w:kern w:val="2"/>
          <w:lang w:eastAsia="en-US"/>
          <w14:ligatures w14:val="standardContextual"/>
        </w:rPr>
        <w:t xml:space="preserve">reached more people </w:t>
      </w:r>
      <w:r w:rsidRPr="000F5A44">
        <w:rPr>
          <w:rFonts w:eastAsia="Calibri"/>
          <w:kern w:val="2"/>
          <w:lang w:eastAsia="en-US"/>
          <w14:ligatures w14:val="standardContextual"/>
        </w:rPr>
        <w:t xml:space="preserve">in </w:t>
      </w:r>
      <w:r w:rsidRPr="002249C3">
        <w:rPr>
          <w:rFonts w:eastAsia="Calibri"/>
          <w:kern w:val="2"/>
          <w:lang w:eastAsia="en-US"/>
          <w14:ligatures w14:val="standardContextual"/>
        </w:rPr>
        <w:t>the most deprived areas</w:t>
      </w:r>
      <w:r w:rsidRPr="000F5A44">
        <w:rPr>
          <w:rFonts w:eastAsia="Calibri"/>
          <w:kern w:val="2"/>
          <w:lang w:eastAsia="en-US"/>
          <w14:ligatures w14:val="standardContextual"/>
        </w:rPr>
        <w:t xml:space="preserve"> with </w:t>
      </w:r>
      <w:r w:rsidRPr="002249C3">
        <w:rPr>
          <w:rFonts w:eastAsia="Calibri"/>
          <w:kern w:val="2"/>
          <w:u w:val="single"/>
          <w:lang w:eastAsia="en-US"/>
          <w14:ligatures w14:val="standardContextual"/>
        </w:rPr>
        <w:t>61.27%</w:t>
      </w:r>
      <w:r w:rsidRPr="000F5A44">
        <w:rPr>
          <w:rFonts w:eastAsia="Calibri"/>
          <w:kern w:val="2"/>
          <w:lang w:eastAsia="en-US"/>
          <w14:ligatures w14:val="standardContextual"/>
        </w:rPr>
        <w:t xml:space="preserve"> of older people supported living in the </w:t>
      </w:r>
      <w:r w:rsidRPr="000F5A44">
        <w:rPr>
          <w:rFonts w:eastAsia="Calibri"/>
          <w:kern w:val="2"/>
          <w:u w:val="single"/>
          <w:lang w:eastAsia="en-US"/>
          <w14:ligatures w14:val="standardContextual"/>
        </w:rPr>
        <w:t>50%</w:t>
      </w:r>
      <w:r w:rsidRPr="000F5A44">
        <w:rPr>
          <w:rFonts w:eastAsia="Calibri"/>
          <w:kern w:val="2"/>
          <w:lang w:eastAsia="en-US"/>
          <w14:ligatures w14:val="standardContextual"/>
        </w:rPr>
        <w:t xml:space="preserve"> most deprived areas and </w:t>
      </w:r>
      <w:r w:rsidRPr="000F5A44">
        <w:rPr>
          <w:rFonts w:eastAsia="Calibri"/>
          <w:kern w:val="2"/>
          <w:u w:val="single"/>
          <w:lang w:eastAsia="en-US"/>
          <w14:ligatures w14:val="standardContextual"/>
        </w:rPr>
        <w:t>35.06%</w:t>
      </w:r>
      <w:r w:rsidRPr="000F5A44">
        <w:rPr>
          <w:rFonts w:eastAsia="Calibri"/>
          <w:kern w:val="2"/>
          <w:lang w:eastAsia="en-US"/>
          <w14:ligatures w14:val="standardContextual"/>
        </w:rPr>
        <w:t xml:space="preserve"> living in the </w:t>
      </w:r>
      <w:r w:rsidRPr="000F5A44">
        <w:rPr>
          <w:rFonts w:eastAsia="Calibri"/>
          <w:kern w:val="2"/>
          <w:u w:val="single"/>
          <w:lang w:eastAsia="en-US"/>
          <w14:ligatures w14:val="standardContextual"/>
        </w:rPr>
        <w:t>30%</w:t>
      </w:r>
      <w:r w:rsidRPr="000F5A44">
        <w:rPr>
          <w:rFonts w:eastAsia="Calibri"/>
          <w:kern w:val="2"/>
          <w:lang w:eastAsia="en-US"/>
          <w14:ligatures w14:val="standardContextual"/>
        </w:rPr>
        <w:t xml:space="preserve"> most deprived areas. </w:t>
      </w:r>
    </w:p>
    <w:p w14:paraId="0017763B" w14:textId="77777777" w:rsidR="001C07E2" w:rsidRDefault="001C07E2" w:rsidP="001C07E2">
      <w:pPr>
        <w:spacing w:after="160" w:line="259" w:lineRule="auto"/>
        <w:ind w:left="1134" w:right="1134"/>
        <w:jc w:val="both"/>
        <w:rPr>
          <w:rFonts w:eastAsia="Calibri"/>
          <w:kern w:val="2"/>
          <w:lang w:eastAsia="en-US"/>
          <w14:ligatures w14:val="standardContextual"/>
        </w:rPr>
      </w:pPr>
      <w:r w:rsidRPr="000F5A44">
        <w:rPr>
          <w:rFonts w:eastAsia="Calibri"/>
          <w:kern w:val="2"/>
          <w:lang w:eastAsia="en-US"/>
          <w14:ligatures w14:val="standardContextual"/>
        </w:rPr>
        <w:t xml:space="preserve">Comparatively, </w:t>
      </w:r>
      <w:r w:rsidRPr="002249C3">
        <w:rPr>
          <w:rFonts w:eastAsia="Calibri"/>
          <w:kern w:val="2"/>
          <w:lang w:eastAsia="en-US"/>
          <w14:ligatures w14:val="standardContextual"/>
        </w:rPr>
        <w:t xml:space="preserve">Physical </w:t>
      </w:r>
      <w:r>
        <w:rPr>
          <w:rFonts w:eastAsia="Calibri"/>
          <w:kern w:val="2"/>
          <w:lang w:eastAsia="en-US"/>
          <w14:ligatures w14:val="standardContextual"/>
        </w:rPr>
        <w:t xml:space="preserve">&amp; Social </w:t>
      </w:r>
      <w:r w:rsidRPr="002249C3">
        <w:rPr>
          <w:rFonts w:eastAsia="Calibri"/>
          <w:kern w:val="2"/>
          <w:lang w:eastAsia="en-US"/>
          <w14:ligatures w14:val="standardContextual"/>
        </w:rPr>
        <w:t>Activity (</w:t>
      </w:r>
      <w:r w:rsidRPr="002249C3">
        <w:rPr>
          <w:rFonts w:eastAsia="Calibri"/>
          <w:kern w:val="2"/>
          <w:u w:val="single"/>
          <w:lang w:eastAsia="en-US"/>
          <w14:ligatures w14:val="standardContextual"/>
        </w:rPr>
        <w:t>57.96%),</w:t>
      </w:r>
      <w:r w:rsidRPr="002249C3">
        <w:rPr>
          <w:rFonts w:eastAsia="Calibri"/>
          <w:kern w:val="2"/>
          <w:lang w:eastAsia="en-US"/>
          <w14:ligatures w14:val="standardContextual"/>
        </w:rPr>
        <w:t xml:space="preserve"> Hom</w:t>
      </w:r>
      <w:r w:rsidRPr="000F5A44">
        <w:rPr>
          <w:rFonts w:eastAsia="Calibri"/>
          <w:kern w:val="2"/>
          <w:lang w:eastAsia="en-US"/>
          <w14:ligatures w14:val="standardContextual"/>
        </w:rPr>
        <w:t>e</w:t>
      </w:r>
      <w:r w:rsidRPr="002249C3">
        <w:rPr>
          <w:rFonts w:eastAsia="Calibri"/>
          <w:kern w:val="2"/>
          <w:lang w:eastAsia="en-US"/>
          <w14:ligatures w14:val="standardContextual"/>
        </w:rPr>
        <w:t xml:space="preserve"> Support (</w:t>
      </w:r>
      <w:r w:rsidRPr="002249C3">
        <w:rPr>
          <w:rFonts w:eastAsia="Calibri"/>
          <w:kern w:val="2"/>
          <w:u w:val="single"/>
          <w:lang w:eastAsia="en-US"/>
          <w14:ligatures w14:val="standardContextual"/>
        </w:rPr>
        <w:t>59.25%)</w:t>
      </w:r>
      <w:r w:rsidRPr="002249C3">
        <w:rPr>
          <w:rFonts w:eastAsia="Calibri"/>
          <w:kern w:val="2"/>
          <w:lang w:eastAsia="en-US"/>
          <w14:ligatures w14:val="standardContextual"/>
        </w:rPr>
        <w:t xml:space="preserve"> and </w:t>
      </w:r>
      <w:r w:rsidRPr="000F5A44">
        <w:rPr>
          <w:rFonts w:eastAsia="Calibri"/>
          <w:kern w:val="2"/>
          <w:lang w:eastAsia="en-US"/>
          <w14:ligatures w14:val="standardContextual"/>
        </w:rPr>
        <w:t>D</w:t>
      </w:r>
      <w:r w:rsidRPr="002249C3">
        <w:rPr>
          <w:rFonts w:eastAsia="Calibri"/>
          <w:kern w:val="2"/>
          <w:lang w:eastAsia="en-US"/>
          <w14:ligatures w14:val="standardContextual"/>
        </w:rPr>
        <w:t>ay Centre (</w:t>
      </w:r>
      <w:r w:rsidRPr="002249C3">
        <w:rPr>
          <w:rFonts w:eastAsia="Calibri"/>
          <w:kern w:val="2"/>
          <w:u w:val="single"/>
          <w:lang w:eastAsia="en-US"/>
          <w14:ligatures w14:val="standardContextual"/>
        </w:rPr>
        <w:t>57.16%)</w:t>
      </w:r>
      <w:r w:rsidRPr="002249C3">
        <w:rPr>
          <w:rFonts w:eastAsia="Calibri"/>
          <w:kern w:val="2"/>
          <w:lang w:eastAsia="en-US"/>
          <w14:ligatures w14:val="standardContextual"/>
        </w:rPr>
        <w:t xml:space="preserve"> interventions reach</w:t>
      </w:r>
      <w:r w:rsidRPr="000F5A44">
        <w:rPr>
          <w:rFonts w:eastAsia="Calibri"/>
          <w:kern w:val="2"/>
          <w:lang w:eastAsia="en-US"/>
          <w14:ligatures w14:val="standardContextual"/>
        </w:rPr>
        <w:t>ed</w:t>
      </w:r>
      <w:r w:rsidRPr="002249C3">
        <w:rPr>
          <w:rFonts w:eastAsia="Calibri"/>
          <w:kern w:val="2"/>
          <w:lang w:eastAsia="en-US"/>
          <w14:ligatures w14:val="standardContextual"/>
        </w:rPr>
        <w:t xml:space="preserve"> more people in </w:t>
      </w:r>
      <w:r w:rsidRPr="000F5A44">
        <w:rPr>
          <w:rFonts w:eastAsia="Calibri"/>
          <w:kern w:val="2"/>
          <w:lang w:eastAsia="en-US"/>
          <w14:ligatures w14:val="standardContextual"/>
        </w:rPr>
        <w:t xml:space="preserve">the </w:t>
      </w:r>
      <w:r w:rsidRPr="000F5A44">
        <w:rPr>
          <w:rFonts w:eastAsia="Calibri"/>
          <w:kern w:val="2"/>
          <w:u w:val="single"/>
          <w:lang w:eastAsia="en-US"/>
          <w14:ligatures w14:val="standardContextual"/>
        </w:rPr>
        <w:t>50%</w:t>
      </w:r>
      <w:r w:rsidRPr="000F5A44">
        <w:rPr>
          <w:rFonts w:eastAsia="Calibri"/>
          <w:kern w:val="2"/>
          <w:lang w:eastAsia="en-US"/>
          <w14:ligatures w14:val="standardContextual"/>
        </w:rPr>
        <w:t xml:space="preserve"> least deprived areas</w:t>
      </w:r>
      <w:r w:rsidRPr="002249C3">
        <w:rPr>
          <w:rFonts w:eastAsia="Calibri"/>
          <w:kern w:val="2"/>
          <w:lang w:eastAsia="en-US"/>
          <w14:ligatures w14:val="standardContextual"/>
        </w:rPr>
        <w:t>.</w:t>
      </w:r>
    </w:p>
    <w:p w14:paraId="1F1F5CD9" w14:textId="77777777" w:rsidR="001C07E2" w:rsidRDefault="001C07E2" w:rsidP="001C07E2">
      <w:pPr>
        <w:spacing w:after="160" w:line="259" w:lineRule="auto"/>
        <w:ind w:left="1134" w:right="1134"/>
        <w:jc w:val="both"/>
        <w:rPr>
          <w:rFonts w:eastAsia="Calibri"/>
          <w:kern w:val="2"/>
          <w:lang w:eastAsia="en-US"/>
          <w14:ligatures w14:val="standardContextual"/>
        </w:rPr>
      </w:pPr>
    </w:p>
    <w:p w14:paraId="1139B924" w14:textId="77777777" w:rsidR="001C07E2" w:rsidRDefault="001C07E2" w:rsidP="001C07E2">
      <w:pPr>
        <w:spacing w:after="160" w:line="259" w:lineRule="auto"/>
        <w:ind w:left="1134" w:right="1134"/>
        <w:jc w:val="both"/>
        <w:rPr>
          <w:rFonts w:eastAsia="Calibri"/>
          <w:kern w:val="2"/>
          <w:lang w:eastAsia="en-US"/>
          <w14:ligatures w14:val="standardContextual"/>
        </w:rPr>
      </w:pPr>
    </w:p>
    <w:p w14:paraId="6E80660E" w14:textId="77777777" w:rsidR="001C07E2" w:rsidRDefault="001C07E2" w:rsidP="001C07E2">
      <w:pPr>
        <w:spacing w:after="160" w:line="259" w:lineRule="auto"/>
        <w:ind w:left="1134" w:right="1134"/>
        <w:jc w:val="both"/>
        <w:rPr>
          <w:rFonts w:eastAsia="Calibri"/>
          <w:kern w:val="2"/>
          <w:lang w:eastAsia="en-US"/>
          <w14:ligatures w14:val="standardContextual"/>
        </w:rPr>
      </w:pPr>
    </w:p>
    <w:tbl>
      <w:tblPr>
        <w:tblStyle w:val="GridTable4-Accent52"/>
        <w:tblW w:w="6115" w:type="dxa"/>
        <w:jc w:val="center"/>
        <w:tblLook w:val="04A0" w:firstRow="1" w:lastRow="0" w:firstColumn="1" w:lastColumn="0" w:noHBand="0" w:noVBand="1"/>
      </w:tblPr>
      <w:tblGrid>
        <w:gridCol w:w="2131"/>
        <w:gridCol w:w="996"/>
        <w:gridCol w:w="996"/>
        <w:gridCol w:w="996"/>
        <w:gridCol w:w="996"/>
      </w:tblGrid>
      <w:tr w:rsidR="001C07E2" w:rsidRPr="008536D7" w14:paraId="05CD018E" w14:textId="77777777" w:rsidTr="00CF0986">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single" w:sz="4" w:space="0" w:color="DAE9F7" w:themeColor="text2" w:themeTint="1A"/>
              <w:left w:val="single" w:sz="4" w:space="0" w:color="DAE9F7" w:themeColor="text2" w:themeTint="1A"/>
              <w:bottom w:val="nil"/>
            </w:tcBorders>
            <w:noWrap/>
          </w:tcPr>
          <w:p w14:paraId="4ED807F8" w14:textId="77777777" w:rsidR="001C07E2" w:rsidRPr="008536D7" w:rsidRDefault="001C07E2" w:rsidP="00CF0986">
            <w:pPr>
              <w:ind w:left="0"/>
              <w:rPr>
                <w:rFonts w:ascii="Aptos Narrow" w:eastAsia="Times New Roman" w:hAnsi="Aptos Narrow" w:cs="Times New Roman"/>
                <w:color w:val="000000"/>
              </w:rPr>
            </w:pPr>
            <w:r w:rsidRPr="008536D7">
              <w:rPr>
                <w:rFonts w:ascii="Aptos Narrow" w:eastAsia="Times New Roman" w:hAnsi="Aptos Narrow" w:cs="Times New Roman"/>
                <w:color w:val="000000"/>
              </w:rPr>
              <w:t>Intervention</w:t>
            </w:r>
          </w:p>
        </w:tc>
        <w:tc>
          <w:tcPr>
            <w:tcW w:w="0" w:type="dxa"/>
            <w:gridSpan w:val="4"/>
            <w:tcBorders>
              <w:top w:val="single" w:sz="4" w:space="0" w:color="DAE9F7" w:themeColor="text2" w:themeTint="1A"/>
              <w:bottom w:val="nil"/>
              <w:right w:val="single" w:sz="4" w:space="0" w:color="DAE9F7" w:themeColor="text2" w:themeTint="1A"/>
            </w:tcBorders>
            <w:noWrap/>
          </w:tcPr>
          <w:p w14:paraId="50B689B0" w14:textId="77777777" w:rsidR="001C07E2" w:rsidRPr="00081114" w:rsidRDefault="001C07E2" w:rsidP="00CF0986">
            <w:pPr>
              <w:ind w:left="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rPr>
            </w:pPr>
            <w:r>
              <w:rPr>
                <w:rFonts w:ascii="Aptos Narrow" w:eastAsia="Times New Roman" w:hAnsi="Aptos Narrow" w:cs="Times New Roman"/>
                <w:color w:val="000000"/>
              </w:rPr>
              <w:t>IMD</w:t>
            </w:r>
            <w:r>
              <w:rPr>
                <w:rStyle w:val="FootnoteReference"/>
                <w:rFonts w:ascii="Aptos Narrow" w:eastAsia="Times New Roman" w:hAnsi="Aptos Narrow" w:cs="Times New Roman"/>
                <w:color w:val="000000"/>
              </w:rPr>
              <w:footnoteReference w:id="4"/>
            </w:r>
          </w:p>
        </w:tc>
      </w:tr>
      <w:tr w:rsidR="001C07E2" w:rsidRPr="008536D7" w14:paraId="073C5F66" w14:textId="77777777" w:rsidTr="00CF098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nil"/>
              <w:left w:val="single" w:sz="4" w:space="0" w:color="DAE9F7" w:themeColor="text2" w:themeTint="1A"/>
              <w:bottom w:val="single" w:sz="4" w:space="0" w:color="DAE9F7" w:themeColor="text2" w:themeTint="1A"/>
              <w:right w:val="nil"/>
            </w:tcBorders>
            <w:shd w:val="clear" w:color="auto" w:fill="5B9BD5"/>
            <w:noWrap/>
            <w:hideMark/>
          </w:tcPr>
          <w:p w14:paraId="24C1452F" w14:textId="77777777" w:rsidR="001C07E2" w:rsidRPr="008536D7" w:rsidRDefault="001C07E2" w:rsidP="00CF0986">
            <w:pPr>
              <w:ind w:left="0"/>
              <w:rPr>
                <w:rFonts w:ascii="Aptos Narrow" w:eastAsia="Times New Roman" w:hAnsi="Aptos Narrow" w:cs="Times New Roman"/>
                <w:color w:val="000000"/>
              </w:rPr>
            </w:pPr>
          </w:p>
        </w:tc>
        <w:tc>
          <w:tcPr>
            <w:tcW w:w="0" w:type="dxa"/>
            <w:tcBorders>
              <w:top w:val="nil"/>
              <w:left w:val="nil"/>
              <w:bottom w:val="single" w:sz="4" w:space="0" w:color="DAE9F7" w:themeColor="text2" w:themeTint="1A"/>
              <w:right w:val="nil"/>
            </w:tcBorders>
            <w:shd w:val="clear" w:color="auto" w:fill="5B9BD5"/>
            <w:noWrap/>
            <w:hideMark/>
          </w:tcPr>
          <w:p w14:paraId="2587D014" w14:textId="77777777" w:rsidR="001C07E2" w:rsidRPr="00081114" w:rsidRDefault="001C07E2" w:rsidP="00CF0986">
            <w:pPr>
              <w:ind w:left="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081114">
              <w:rPr>
                <w:rFonts w:ascii="Aptos Narrow" w:eastAsia="Times New Roman" w:hAnsi="Aptos Narrow" w:cs="Times New Roman"/>
                <w:b/>
                <w:bCs/>
                <w:color w:val="000000"/>
              </w:rPr>
              <w:t>1-5</w:t>
            </w:r>
          </w:p>
        </w:tc>
        <w:tc>
          <w:tcPr>
            <w:tcW w:w="0" w:type="dxa"/>
            <w:tcBorders>
              <w:top w:val="nil"/>
              <w:left w:val="nil"/>
              <w:bottom w:val="single" w:sz="4" w:space="0" w:color="DAE9F7" w:themeColor="text2" w:themeTint="1A"/>
              <w:right w:val="nil"/>
            </w:tcBorders>
            <w:shd w:val="clear" w:color="auto" w:fill="5B9BD5"/>
            <w:noWrap/>
            <w:hideMark/>
          </w:tcPr>
          <w:p w14:paraId="664644FD" w14:textId="77777777" w:rsidR="001C07E2" w:rsidRPr="00081114" w:rsidRDefault="001C07E2" w:rsidP="00CF0986">
            <w:pPr>
              <w:ind w:left="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081114">
              <w:rPr>
                <w:rFonts w:ascii="Aptos Narrow" w:eastAsia="Times New Roman" w:hAnsi="Aptos Narrow" w:cs="Times New Roman"/>
                <w:b/>
                <w:bCs/>
                <w:color w:val="000000"/>
              </w:rPr>
              <w:t>6-10</w:t>
            </w:r>
          </w:p>
        </w:tc>
        <w:tc>
          <w:tcPr>
            <w:tcW w:w="0" w:type="dxa"/>
            <w:tcBorders>
              <w:top w:val="nil"/>
              <w:left w:val="nil"/>
              <w:bottom w:val="single" w:sz="4" w:space="0" w:color="DAE9F7" w:themeColor="text2" w:themeTint="1A"/>
              <w:right w:val="nil"/>
            </w:tcBorders>
            <w:shd w:val="clear" w:color="auto" w:fill="5B9BD5"/>
            <w:noWrap/>
            <w:hideMark/>
          </w:tcPr>
          <w:p w14:paraId="30D180D1" w14:textId="77777777" w:rsidR="001C07E2" w:rsidRPr="00081114" w:rsidRDefault="001C07E2" w:rsidP="00CF0986">
            <w:pPr>
              <w:ind w:left="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081114">
              <w:rPr>
                <w:rFonts w:ascii="Aptos Narrow" w:eastAsia="Times New Roman" w:hAnsi="Aptos Narrow" w:cs="Times New Roman"/>
                <w:b/>
                <w:bCs/>
                <w:color w:val="000000"/>
              </w:rPr>
              <w:t>&lt;=3</w:t>
            </w:r>
          </w:p>
        </w:tc>
        <w:tc>
          <w:tcPr>
            <w:tcW w:w="0" w:type="dxa"/>
            <w:tcBorders>
              <w:top w:val="nil"/>
              <w:left w:val="nil"/>
              <w:bottom w:val="single" w:sz="4" w:space="0" w:color="DAE9F7" w:themeColor="text2" w:themeTint="1A"/>
              <w:right w:val="single" w:sz="4" w:space="0" w:color="DAE9F7" w:themeColor="text2" w:themeTint="1A"/>
            </w:tcBorders>
            <w:shd w:val="clear" w:color="auto" w:fill="5B9BD5"/>
            <w:noWrap/>
            <w:hideMark/>
          </w:tcPr>
          <w:p w14:paraId="7047A2C5" w14:textId="77777777" w:rsidR="001C07E2" w:rsidRPr="00081114" w:rsidRDefault="001C07E2" w:rsidP="00CF0986">
            <w:pPr>
              <w:ind w:left="0"/>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b/>
                <w:bCs/>
                <w:color w:val="000000"/>
              </w:rPr>
            </w:pPr>
            <w:r w:rsidRPr="00081114">
              <w:rPr>
                <w:rFonts w:ascii="Aptos Narrow" w:eastAsia="Times New Roman" w:hAnsi="Aptos Narrow" w:cs="Times New Roman"/>
                <w:b/>
                <w:bCs/>
                <w:color w:val="000000"/>
              </w:rPr>
              <w:t>&gt;=8</w:t>
            </w:r>
          </w:p>
        </w:tc>
      </w:tr>
      <w:tr w:rsidR="001C07E2" w:rsidRPr="008536D7" w14:paraId="55463786" w14:textId="77777777" w:rsidTr="00CF0986">
        <w:trPr>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32247B09" w14:textId="77777777" w:rsidR="001C07E2" w:rsidRPr="008536D7" w:rsidRDefault="001C07E2" w:rsidP="00CF0986">
            <w:pPr>
              <w:ind w:left="0"/>
              <w:rPr>
                <w:rFonts w:ascii="Aptos Narrow" w:eastAsia="Times New Roman" w:hAnsi="Aptos Narrow" w:cs="Times New Roman"/>
                <w:color w:val="000000"/>
              </w:rPr>
            </w:pPr>
            <w:r w:rsidRPr="008536D7">
              <w:rPr>
                <w:rFonts w:ascii="Aptos Narrow" w:eastAsia="Times New Roman" w:hAnsi="Aptos Narrow" w:cs="Times New Roman"/>
                <w:color w:val="000000"/>
              </w:rPr>
              <w:t>D</w:t>
            </w:r>
            <w:r>
              <w:rPr>
                <w:rFonts w:ascii="Aptos Narrow" w:eastAsia="Times New Roman" w:hAnsi="Aptos Narrow" w:cs="Times New Roman"/>
                <w:color w:val="000000"/>
              </w:rPr>
              <w:t>ay Centre</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3C90DDD7"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42.84%</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1C9B4538"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57.16%</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0BBB2D18"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21.78%</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26BDAA97"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38.11%</w:t>
            </w:r>
          </w:p>
        </w:tc>
      </w:tr>
      <w:tr w:rsidR="001C07E2" w:rsidRPr="008536D7" w14:paraId="0352C769" w14:textId="77777777" w:rsidTr="00CF098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01CCF343" w14:textId="77777777" w:rsidR="001C07E2" w:rsidRPr="008536D7" w:rsidRDefault="001C07E2" w:rsidP="00CF0986">
            <w:pPr>
              <w:ind w:left="0"/>
              <w:rPr>
                <w:rFonts w:ascii="Aptos Narrow" w:eastAsia="Times New Roman" w:hAnsi="Aptos Narrow" w:cs="Times New Roman"/>
                <w:color w:val="000000"/>
              </w:rPr>
            </w:pPr>
            <w:r w:rsidRPr="008536D7">
              <w:rPr>
                <w:rFonts w:ascii="Aptos Narrow" w:eastAsia="Times New Roman" w:hAnsi="Aptos Narrow" w:cs="Times New Roman"/>
                <w:color w:val="000000"/>
              </w:rPr>
              <w:t>Meals</w:t>
            </w:r>
            <w:r>
              <w:rPr>
                <w:rFonts w:ascii="Aptos Narrow" w:eastAsia="Times New Roman" w:hAnsi="Aptos Narrow" w:cs="Times New Roman"/>
                <w:color w:val="000000"/>
              </w:rPr>
              <w:t xml:space="preserve"> Support</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2E9D142D"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61.27%</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5B1BDD16"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38.73%</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56FD848F"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35.06%</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56D34D8C"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20.61%</w:t>
            </w:r>
          </w:p>
        </w:tc>
      </w:tr>
      <w:tr w:rsidR="001C07E2" w:rsidRPr="008536D7" w14:paraId="59C46FBE" w14:textId="77777777" w:rsidTr="00CF0986">
        <w:trPr>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19B8A891" w14:textId="77777777" w:rsidR="001C07E2" w:rsidRPr="008536D7" w:rsidRDefault="001C07E2" w:rsidP="00CF0986">
            <w:pPr>
              <w:ind w:left="0"/>
              <w:rPr>
                <w:rFonts w:ascii="Aptos Narrow" w:eastAsia="Times New Roman" w:hAnsi="Aptos Narrow" w:cs="Times New Roman"/>
                <w:color w:val="000000"/>
              </w:rPr>
            </w:pPr>
            <w:r w:rsidRPr="008536D7">
              <w:rPr>
                <w:rFonts w:ascii="Aptos Narrow" w:eastAsia="Times New Roman" w:hAnsi="Aptos Narrow" w:cs="Times New Roman"/>
                <w:color w:val="000000"/>
              </w:rPr>
              <w:t>H</w:t>
            </w:r>
            <w:r>
              <w:rPr>
                <w:rFonts w:ascii="Aptos Narrow" w:eastAsia="Times New Roman" w:hAnsi="Aptos Narrow" w:cs="Times New Roman"/>
                <w:color w:val="000000"/>
              </w:rPr>
              <w:t>ome Support</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5C27769A"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40.75%</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70FDDE10"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59.25%</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563D1023"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21.65%</w:t>
            </w:r>
          </w:p>
        </w:tc>
        <w:tc>
          <w:tcPr>
            <w:tcW w:w="0" w:type="dxa"/>
            <w:tc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tcBorders>
            <w:noWrap/>
            <w:hideMark/>
          </w:tcPr>
          <w:p w14:paraId="7FA0E029" w14:textId="77777777" w:rsidR="001C07E2" w:rsidRPr="008536D7" w:rsidRDefault="001C07E2" w:rsidP="00CF0986">
            <w:pPr>
              <w:ind w:left="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40.61%</w:t>
            </w:r>
          </w:p>
        </w:tc>
      </w:tr>
      <w:tr w:rsidR="001C07E2" w:rsidRPr="008536D7" w14:paraId="271E5B5F" w14:textId="77777777" w:rsidTr="00CF098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99" w:type="dxa"/>
            <w:tcBorders>
              <w:top w:val="single" w:sz="4" w:space="0" w:color="DAE9F7" w:themeColor="text2" w:themeTint="1A"/>
            </w:tcBorders>
            <w:noWrap/>
            <w:hideMark/>
          </w:tcPr>
          <w:p w14:paraId="5FFFA6C3" w14:textId="77777777" w:rsidR="001C07E2" w:rsidRPr="008536D7" w:rsidRDefault="001C07E2" w:rsidP="00CF0986">
            <w:pPr>
              <w:ind w:left="0"/>
              <w:rPr>
                <w:rFonts w:ascii="Aptos Narrow" w:eastAsia="Times New Roman" w:hAnsi="Aptos Narrow" w:cs="Times New Roman"/>
                <w:color w:val="000000"/>
              </w:rPr>
            </w:pPr>
            <w:r w:rsidRPr="008536D7">
              <w:rPr>
                <w:rFonts w:ascii="Aptos Narrow" w:eastAsia="Times New Roman" w:hAnsi="Aptos Narrow" w:cs="Times New Roman"/>
                <w:color w:val="000000"/>
              </w:rPr>
              <w:t>P</w:t>
            </w:r>
            <w:r>
              <w:rPr>
                <w:rFonts w:ascii="Aptos Narrow" w:eastAsia="Times New Roman" w:hAnsi="Aptos Narrow" w:cs="Times New Roman"/>
                <w:color w:val="000000"/>
              </w:rPr>
              <w:t>hysical &amp; Social Activities</w:t>
            </w:r>
          </w:p>
        </w:tc>
        <w:tc>
          <w:tcPr>
            <w:tcW w:w="0" w:type="dxa"/>
            <w:tcBorders>
              <w:top w:val="single" w:sz="4" w:space="0" w:color="DAE9F7" w:themeColor="text2" w:themeTint="1A"/>
            </w:tcBorders>
            <w:noWrap/>
            <w:hideMark/>
          </w:tcPr>
          <w:p w14:paraId="6DAD5F67"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42.04%</w:t>
            </w:r>
          </w:p>
        </w:tc>
        <w:tc>
          <w:tcPr>
            <w:tcW w:w="0" w:type="dxa"/>
            <w:tcBorders>
              <w:top w:val="single" w:sz="4" w:space="0" w:color="DAE9F7" w:themeColor="text2" w:themeTint="1A"/>
            </w:tcBorders>
            <w:noWrap/>
            <w:hideMark/>
          </w:tcPr>
          <w:p w14:paraId="2F31E715"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57.96%</w:t>
            </w:r>
          </w:p>
        </w:tc>
        <w:tc>
          <w:tcPr>
            <w:tcW w:w="0" w:type="dxa"/>
            <w:tcBorders>
              <w:top w:val="single" w:sz="4" w:space="0" w:color="DAE9F7" w:themeColor="text2" w:themeTint="1A"/>
            </w:tcBorders>
            <w:noWrap/>
            <w:hideMark/>
          </w:tcPr>
          <w:p w14:paraId="287AE36D"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21.50%</w:t>
            </w:r>
          </w:p>
        </w:tc>
        <w:tc>
          <w:tcPr>
            <w:tcW w:w="0" w:type="dxa"/>
            <w:tcBorders>
              <w:top w:val="single" w:sz="4" w:space="0" w:color="DAE9F7" w:themeColor="text2" w:themeTint="1A"/>
            </w:tcBorders>
            <w:noWrap/>
            <w:hideMark/>
          </w:tcPr>
          <w:p w14:paraId="0D739B6D" w14:textId="77777777" w:rsidR="001C07E2" w:rsidRPr="008536D7" w:rsidRDefault="001C07E2" w:rsidP="00CF0986">
            <w:pPr>
              <w:ind w:left="0"/>
              <w:jc w:val="right"/>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rPr>
            </w:pPr>
            <w:r>
              <w:rPr>
                <w:rFonts w:ascii="Aptos Narrow" w:hAnsi="Aptos Narrow"/>
                <w:color w:val="000000"/>
              </w:rPr>
              <w:t>34.57%</w:t>
            </w:r>
          </w:p>
        </w:tc>
      </w:tr>
    </w:tbl>
    <w:p w14:paraId="52A41CE2" w14:textId="77777777" w:rsidR="001C07E2" w:rsidRPr="002249C3" w:rsidRDefault="001C07E2" w:rsidP="001C07E2">
      <w:pPr>
        <w:spacing w:after="160" w:line="259" w:lineRule="auto"/>
        <w:ind w:left="1134" w:right="1134"/>
        <w:jc w:val="both"/>
        <w:rPr>
          <w:rFonts w:eastAsia="Calibri"/>
          <w:kern w:val="2"/>
          <w:lang w:eastAsia="en-US"/>
          <w14:ligatures w14:val="standardContextual"/>
        </w:rPr>
      </w:pPr>
    </w:p>
    <w:bookmarkEnd w:id="3"/>
    <w:p w14:paraId="7CF4EDFA" w14:textId="77777777" w:rsidR="001C07E2" w:rsidRPr="000F5A44" w:rsidRDefault="001C07E2" w:rsidP="001C07E2">
      <w:pPr>
        <w:pStyle w:val="ListParagraph"/>
        <w:numPr>
          <w:ilvl w:val="0"/>
          <w:numId w:val="2"/>
        </w:numPr>
        <w:autoSpaceDE w:val="0"/>
        <w:autoSpaceDN w:val="0"/>
        <w:adjustRightInd w:val="0"/>
        <w:ind w:left="1494" w:right="1134"/>
        <w:jc w:val="both"/>
        <w:rPr>
          <w:rFonts w:eastAsia="Calibri"/>
          <w:b/>
          <w:bCs/>
          <w:color w:val="000000"/>
          <w:lang w:eastAsia="en-US"/>
        </w:rPr>
      </w:pPr>
      <w:r w:rsidRPr="000F5A44">
        <w:rPr>
          <w:rFonts w:eastAsia="Calibri"/>
          <w:b/>
          <w:bCs/>
          <w:color w:val="000000"/>
          <w:lang w:eastAsia="en-US"/>
        </w:rPr>
        <w:t>Feedback from Partners</w:t>
      </w:r>
    </w:p>
    <w:p w14:paraId="5B5A94E4" w14:textId="77777777" w:rsidR="001C07E2" w:rsidRPr="002249C3" w:rsidRDefault="001C07E2" w:rsidP="001C07E2">
      <w:pPr>
        <w:autoSpaceDE w:val="0"/>
        <w:autoSpaceDN w:val="0"/>
        <w:adjustRightInd w:val="0"/>
        <w:ind w:left="1134" w:right="1134"/>
        <w:jc w:val="both"/>
        <w:rPr>
          <w:rFonts w:eastAsia="Calibri"/>
          <w:color w:val="000000"/>
          <w:lang w:eastAsia="en-US"/>
        </w:rPr>
      </w:pPr>
    </w:p>
    <w:p w14:paraId="3D0EDF72" w14:textId="77777777" w:rsidR="001C07E2" w:rsidRPr="002249C3" w:rsidRDefault="001C07E2" w:rsidP="001C07E2">
      <w:pPr>
        <w:autoSpaceDE w:val="0"/>
        <w:autoSpaceDN w:val="0"/>
        <w:adjustRightInd w:val="0"/>
        <w:ind w:left="1134" w:right="1134"/>
        <w:jc w:val="both"/>
        <w:rPr>
          <w:rFonts w:eastAsia="Calibri"/>
          <w:color w:val="000000"/>
          <w:lang w:eastAsia="en-US"/>
        </w:rPr>
      </w:pPr>
      <w:r w:rsidRPr="002249C3">
        <w:rPr>
          <w:rFonts w:eastAsia="Calibri"/>
          <w:color w:val="000000"/>
          <w:lang w:eastAsia="en-US"/>
        </w:rPr>
        <w:t xml:space="preserve">Network Partners have faced many challenges to offer older people support in the past few years; we have heard about staff shortages, increases in overhead costs, losses of funding as well as managing longer waiting times and more complex cases. Despite this, Partners have continually offered high quality, holistic support which is making a huge difference to people’s lives. </w:t>
      </w:r>
    </w:p>
    <w:p w14:paraId="7E9EF279" w14:textId="77777777" w:rsidR="001C07E2" w:rsidRPr="002249C3" w:rsidRDefault="001C07E2" w:rsidP="001C07E2">
      <w:pPr>
        <w:autoSpaceDE w:val="0"/>
        <w:autoSpaceDN w:val="0"/>
        <w:adjustRightInd w:val="0"/>
        <w:ind w:left="1134" w:right="1134"/>
        <w:jc w:val="both"/>
        <w:rPr>
          <w:rFonts w:eastAsia="Calibri"/>
          <w:color w:val="000000"/>
          <w:lang w:eastAsia="en-US"/>
        </w:rPr>
      </w:pPr>
    </w:p>
    <w:p w14:paraId="32C918E6" w14:textId="77777777" w:rsidR="001C07E2" w:rsidRPr="00712109" w:rsidRDefault="001C07E2" w:rsidP="001C07E2">
      <w:pPr>
        <w:autoSpaceDE w:val="0"/>
        <w:autoSpaceDN w:val="0"/>
        <w:adjustRightInd w:val="0"/>
        <w:ind w:left="1134" w:right="1134"/>
        <w:jc w:val="both"/>
        <w:rPr>
          <w:rFonts w:eastAsia="Calibri"/>
          <w:i/>
          <w:iCs/>
          <w:color w:val="77206D" w:themeColor="accent5" w:themeShade="BF"/>
          <w:lang w:eastAsia="en-US"/>
        </w:rPr>
      </w:pPr>
      <w:r w:rsidRPr="00712109">
        <w:rPr>
          <w:rFonts w:eastAsia="Calibri"/>
          <w:i/>
          <w:iCs/>
          <w:color w:val="77206D" w:themeColor="accent5" w:themeShade="BF"/>
          <w:lang w:eastAsia="en-US"/>
        </w:rPr>
        <w:t xml:space="preserve">“We have mostly used the funds to support our benefit work, with some going towards our general support to those struggling financially (issuing foodbank vouchers, hardship grants, carrying out benefit checks). Waiting lists for support via welfare rights – enabling us to double our resources. However, the waiting time is still quite long about 4 months at the moment unless under special rules or there is a deadline to return the form. We are also giving greater priority to over 90 year olds. </w:t>
      </w:r>
    </w:p>
    <w:p w14:paraId="67CCFCA7" w14:textId="77777777" w:rsidR="001C07E2" w:rsidRPr="00712109" w:rsidRDefault="001C07E2" w:rsidP="001C07E2">
      <w:pPr>
        <w:autoSpaceDE w:val="0"/>
        <w:autoSpaceDN w:val="0"/>
        <w:adjustRightInd w:val="0"/>
        <w:ind w:left="1134" w:right="1134"/>
        <w:jc w:val="both"/>
        <w:rPr>
          <w:rFonts w:eastAsia="Calibri"/>
          <w:color w:val="77206D" w:themeColor="accent5" w:themeShade="BF"/>
          <w:lang w:eastAsia="en-US"/>
        </w:rPr>
      </w:pPr>
    </w:p>
    <w:p w14:paraId="3E058F59" w14:textId="77777777" w:rsidR="001C07E2" w:rsidRPr="00712109" w:rsidRDefault="001C07E2" w:rsidP="001C07E2">
      <w:pPr>
        <w:autoSpaceDE w:val="0"/>
        <w:autoSpaceDN w:val="0"/>
        <w:adjustRightInd w:val="0"/>
        <w:ind w:left="1134" w:right="1134"/>
        <w:jc w:val="both"/>
        <w:rPr>
          <w:rFonts w:eastAsia="Calibri"/>
          <w:i/>
          <w:iCs/>
          <w:color w:val="77206D" w:themeColor="accent5" w:themeShade="BF"/>
          <w:lang w:eastAsia="en-US"/>
        </w:rPr>
      </w:pPr>
      <w:r w:rsidRPr="00712109">
        <w:rPr>
          <w:rFonts w:eastAsia="Calibri"/>
          <w:i/>
          <w:iCs/>
          <w:color w:val="77206D" w:themeColor="accent5" w:themeShade="BF"/>
          <w:lang w:eastAsia="en-US"/>
        </w:rPr>
        <w:t xml:space="preserve">We have seen new clients requesting benefit checks due to the cost of living crisis, however after checking their position they are already getting all their entitlements. Some benefit decisions are taking a long time to come through, meaning that clients are having to struggle financially for longer.” </w:t>
      </w:r>
    </w:p>
    <w:p w14:paraId="76592CC2" w14:textId="77777777" w:rsidR="001C07E2" w:rsidRPr="00712109" w:rsidRDefault="001C07E2" w:rsidP="001C07E2">
      <w:pPr>
        <w:autoSpaceDE w:val="0"/>
        <w:autoSpaceDN w:val="0"/>
        <w:adjustRightInd w:val="0"/>
        <w:ind w:left="1134" w:right="1134"/>
        <w:jc w:val="both"/>
        <w:rPr>
          <w:rFonts w:eastAsia="Calibri"/>
          <w:i/>
          <w:iCs/>
          <w:color w:val="77206D" w:themeColor="accent5" w:themeShade="BF"/>
          <w:lang w:eastAsia="en-US"/>
        </w:rPr>
      </w:pPr>
    </w:p>
    <w:p w14:paraId="5617101A" w14:textId="77777777" w:rsidR="001C07E2" w:rsidRPr="00712109" w:rsidRDefault="001C07E2" w:rsidP="001C07E2">
      <w:pPr>
        <w:numPr>
          <w:ilvl w:val="0"/>
          <w:numId w:val="3"/>
        </w:numPr>
        <w:ind w:right="1134"/>
        <w:jc w:val="both"/>
        <w:rPr>
          <w:rFonts w:eastAsia="Calibri"/>
          <w:b/>
          <w:bCs/>
          <w:color w:val="77206D" w:themeColor="accent5" w:themeShade="BF"/>
        </w:rPr>
      </w:pPr>
      <w:bookmarkStart w:id="4" w:name="_Hlk174014520"/>
      <w:r w:rsidRPr="00712109">
        <w:rPr>
          <w:rFonts w:eastAsia="Calibri"/>
          <w:b/>
          <w:bCs/>
          <w:color w:val="77206D" w:themeColor="accent5" w:themeShade="BF"/>
        </w:rPr>
        <w:t xml:space="preserve">Age UK Norwich </w:t>
      </w:r>
      <w:bookmarkEnd w:id="4"/>
    </w:p>
    <w:p w14:paraId="4DD19893" w14:textId="77777777" w:rsidR="001C07E2" w:rsidRPr="002249C3" w:rsidRDefault="001C07E2" w:rsidP="001C07E2">
      <w:pPr>
        <w:autoSpaceDE w:val="0"/>
        <w:autoSpaceDN w:val="0"/>
        <w:adjustRightInd w:val="0"/>
        <w:ind w:left="1134" w:right="1134"/>
        <w:jc w:val="both"/>
        <w:rPr>
          <w:rFonts w:eastAsia="Calibri"/>
          <w:color w:val="5F497A"/>
          <w:lang w:eastAsia="en-US"/>
        </w:rPr>
      </w:pPr>
    </w:p>
    <w:p w14:paraId="7CD72527" w14:textId="77777777" w:rsidR="001C07E2" w:rsidRDefault="001C07E2" w:rsidP="001C07E2">
      <w:pPr>
        <w:autoSpaceDE w:val="0"/>
        <w:autoSpaceDN w:val="0"/>
        <w:adjustRightInd w:val="0"/>
        <w:ind w:left="1134" w:right="1134"/>
        <w:jc w:val="both"/>
        <w:rPr>
          <w:rFonts w:eastAsia="Calibri"/>
          <w:lang w:eastAsia="en-US"/>
        </w:rPr>
      </w:pPr>
      <w:r w:rsidRPr="002249C3">
        <w:rPr>
          <w:rFonts w:eastAsia="Calibri"/>
          <w:lang w:eastAsia="en-US"/>
        </w:rPr>
        <w:t xml:space="preserve">Unfortunately, we are still hearing from Partners that the impact of covid and the cost of living crisis continues to affect older people in their communities. </w:t>
      </w:r>
      <w:r w:rsidRPr="000F5A44">
        <w:rPr>
          <w:rFonts w:eastAsia="Calibri"/>
          <w:lang w:eastAsia="en-US"/>
        </w:rPr>
        <w:t xml:space="preserve">All 53 Partners who provided feedback via an end of Programme Survey all either strongly agreed or agreed that their clients are still being impacted by the cost of living crisis. </w:t>
      </w:r>
    </w:p>
    <w:p w14:paraId="64B93CA1" w14:textId="77777777" w:rsidR="001C07E2" w:rsidRDefault="001C07E2" w:rsidP="001C07E2">
      <w:pPr>
        <w:autoSpaceDE w:val="0"/>
        <w:autoSpaceDN w:val="0"/>
        <w:adjustRightInd w:val="0"/>
        <w:ind w:left="1134" w:right="1134"/>
        <w:jc w:val="both"/>
        <w:rPr>
          <w:rFonts w:eastAsia="Calibri"/>
          <w:lang w:eastAsia="en-US"/>
        </w:rPr>
      </w:pPr>
    </w:p>
    <w:p w14:paraId="3157E93F" w14:textId="77777777" w:rsidR="001C07E2" w:rsidRPr="003B61B8" w:rsidRDefault="001C07E2" w:rsidP="001C07E2">
      <w:pPr>
        <w:pStyle w:val="xmsonormal"/>
        <w:ind w:left="1134" w:right="1134"/>
        <w:jc w:val="both"/>
        <w:rPr>
          <w:rFonts w:ascii="Arial" w:hAnsi="Arial" w:cs="Arial"/>
          <w:color w:val="77206D" w:themeColor="accent5" w:themeShade="BF"/>
        </w:rPr>
      </w:pPr>
      <w:r w:rsidRPr="003B61B8">
        <w:rPr>
          <w:rFonts w:ascii="Arial" w:eastAsia="Calibri" w:hAnsi="Arial" w:cs="Arial"/>
          <w:i/>
          <w:iCs/>
          <w:color w:val="77206D" w:themeColor="accent5" w:themeShade="BF"/>
        </w:rPr>
        <w:t xml:space="preserve">“Older people continue to be affected by the impact of the pandemic. Older people have told Age NI about the financial pressures they are experiencing due to increases in the cost of living.  Callers to Age NI's Advice Service have talked about being anxious and fearful about rising energy costs, food costs and other costs, and not wanting to put </w:t>
      </w:r>
      <w:r w:rsidRPr="003B61B8">
        <w:rPr>
          <w:rFonts w:ascii="Arial" w:eastAsia="Calibri" w:hAnsi="Arial" w:cs="Arial"/>
          <w:i/>
          <w:iCs/>
          <w:color w:val="77206D" w:themeColor="accent5" w:themeShade="BF"/>
        </w:rPr>
        <w:lastRenderedPageBreak/>
        <w:t xml:space="preserve">their heating on. </w:t>
      </w:r>
      <w:r w:rsidRPr="003B61B8">
        <w:rPr>
          <w:rFonts w:ascii="Arial" w:hAnsi="Arial" w:cs="Arial"/>
          <w:i/>
          <w:iCs/>
          <w:color w:val="77206D" w:themeColor="accent5" w:themeShade="BF"/>
        </w:rPr>
        <w:t>Older people continue to be cautious about participating in social activities, adversely impacting on their wellbeing”</w:t>
      </w:r>
    </w:p>
    <w:p w14:paraId="149BD9ED" w14:textId="77777777" w:rsidR="001C07E2" w:rsidRPr="00712109" w:rsidRDefault="001C07E2" w:rsidP="001C07E2">
      <w:pPr>
        <w:ind w:left="0" w:right="1134"/>
        <w:jc w:val="both"/>
        <w:rPr>
          <w:rFonts w:eastAsia="Calibri"/>
          <w:b/>
          <w:bCs/>
          <w:color w:val="77206D" w:themeColor="accent5" w:themeShade="BF"/>
        </w:rPr>
      </w:pPr>
    </w:p>
    <w:p w14:paraId="3A0409E0" w14:textId="77777777" w:rsidR="001C07E2" w:rsidRPr="00712109" w:rsidRDefault="001C07E2" w:rsidP="001C07E2">
      <w:pPr>
        <w:numPr>
          <w:ilvl w:val="0"/>
          <w:numId w:val="3"/>
        </w:numPr>
        <w:ind w:right="1134"/>
        <w:jc w:val="both"/>
        <w:rPr>
          <w:rFonts w:eastAsia="Calibri"/>
          <w:b/>
          <w:bCs/>
          <w:color w:val="77206D" w:themeColor="accent5" w:themeShade="BF"/>
        </w:rPr>
      </w:pPr>
      <w:r w:rsidRPr="00712109">
        <w:rPr>
          <w:rFonts w:eastAsia="Calibri"/>
          <w:b/>
          <w:bCs/>
          <w:color w:val="77206D" w:themeColor="accent5" w:themeShade="BF"/>
        </w:rPr>
        <w:t>Age Northern Ireland</w:t>
      </w:r>
    </w:p>
    <w:p w14:paraId="47FBB9BB" w14:textId="77777777" w:rsidR="001C07E2" w:rsidRPr="000F5A44" w:rsidRDefault="001C07E2" w:rsidP="001C07E2">
      <w:pPr>
        <w:autoSpaceDE w:val="0"/>
        <w:autoSpaceDN w:val="0"/>
        <w:adjustRightInd w:val="0"/>
        <w:ind w:left="0" w:right="1134"/>
        <w:jc w:val="both"/>
        <w:rPr>
          <w:rFonts w:eastAsia="Calibri"/>
          <w:lang w:eastAsia="en-US"/>
        </w:rPr>
      </w:pPr>
    </w:p>
    <w:p w14:paraId="1F110F3B" w14:textId="77777777" w:rsidR="001C07E2" w:rsidRPr="000F5A44" w:rsidRDefault="001C07E2" w:rsidP="001C07E2">
      <w:pPr>
        <w:autoSpaceDE w:val="0"/>
        <w:autoSpaceDN w:val="0"/>
        <w:adjustRightInd w:val="0"/>
        <w:ind w:left="1134" w:right="1134"/>
        <w:jc w:val="both"/>
        <w:rPr>
          <w:rFonts w:eastAsia="Calibri"/>
          <w:lang w:eastAsia="en-US"/>
        </w:rPr>
      </w:pPr>
      <w:r w:rsidRPr="002249C3">
        <w:rPr>
          <w:rFonts w:eastAsia="Calibri"/>
          <w:lang w:eastAsia="en-US"/>
        </w:rPr>
        <w:t xml:space="preserve">Feedback around the Cost of Living funding </w:t>
      </w:r>
      <w:r w:rsidRPr="000F5A44">
        <w:rPr>
          <w:rFonts w:eastAsia="Calibri"/>
          <w:lang w:eastAsia="en-US"/>
        </w:rPr>
        <w:t xml:space="preserve">and its impact </w:t>
      </w:r>
      <w:r w:rsidRPr="002249C3">
        <w:rPr>
          <w:rFonts w:eastAsia="Calibri"/>
          <w:lang w:eastAsia="en-US"/>
        </w:rPr>
        <w:t xml:space="preserve">has been extremely positive, and Partners have highlighted their thanks for the financial support from Age UK National across this difficult time. </w:t>
      </w:r>
    </w:p>
    <w:p w14:paraId="6C820B2B" w14:textId="77777777" w:rsidR="001C07E2" w:rsidRPr="00712109" w:rsidRDefault="001C07E2" w:rsidP="001C07E2">
      <w:pPr>
        <w:ind w:left="0" w:right="1134"/>
        <w:jc w:val="both"/>
        <w:rPr>
          <w:rFonts w:eastAsia="Calibri"/>
          <w:color w:val="77206D" w:themeColor="accent5" w:themeShade="BF"/>
        </w:rPr>
      </w:pPr>
      <w:r w:rsidRPr="00712109">
        <w:rPr>
          <w:rFonts w:eastAsia="Calibri"/>
          <w:b/>
          <w:bCs/>
          <w:color w:val="77206D" w:themeColor="accent5" w:themeShade="BF"/>
        </w:rPr>
        <w:t xml:space="preserve">         </w:t>
      </w:r>
    </w:p>
    <w:p w14:paraId="53F36E6D" w14:textId="77777777" w:rsidR="001C07E2" w:rsidRPr="00712109" w:rsidRDefault="001C07E2" w:rsidP="001C07E2">
      <w:pPr>
        <w:ind w:left="1134" w:right="1134"/>
        <w:jc w:val="both"/>
        <w:rPr>
          <w:rFonts w:eastAsia="Calibri"/>
          <w:i/>
          <w:iCs/>
          <w:color w:val="77206D" w:themeColor="accent5" w:themeShade="BF"/>
        </w:rPr>
      </w:pPr>
      <w:r w:rsidRPr="00712109">
        <w:rPr>
          <w:rFonts w:eastAsia="Calibri"/>
          <w:i/>
          <w:iCs/>
          <w:color w:val="77206D" w:themeColor="accent5" w:themeShade="BF"/>
        </w:rPr>
        <w:t>“It was a godsend at a key moment for us. It allowed us to be confident about going forward without the need for "that meeting" where we would have to make decisions about possible redundancies or reduction, or even ceasing a service. We are proud that we have got through the whole of Covid without having to do either of those things and this fund played a key part in offering some stability over a fairly long period when we needed time to recover. I would ask that the value of this be considered in the future.”</w:t>
      </w:r>
    </w:p>
    <w:p w14:paraId="3CE0248A" w14:textId="77777777" w:rsidR="001C07E2" w:rsidRPr="00712109" w:rsidRDefault="001C07E2" w:rsidP="001C07E2">
      <w:pPr>
        <w:ind w:left="1134" w:right="1134"/>
        <w:jc w:val="both"/>
        <w:rPr>
          <w:rFonts w:eastAsia="Calibri"/>
          <w:i/>
          <w:iCs/>
          <w:color w:val="77206D" w:themeColor="accent5" w:themeShade="BF"/>
        </w:rPr>
      </w:pPr>
    </w:p>
    <w:p w14:paraId="7DE68CE8" w14:textId="77777777" w:rsidR="001C07E2" w:rsidRPr="00712109" w:rsidRDefault="001C07E2" w:rsidP="001C07E2">
      <w:pPr>
        <w:numPr>
          <w:ilvl w:val="0"/>
          <w:numId w:val="3"/>
        </w:numPr>
        <w:ind w:right="1134"/>
        <w:jc w:val="both"/>
        <w:rPr>
          <w:rFonts w:eastAsia="Calibri"/>
          <w:b/>
          <w:bCs/>
          <w:color w:val="77206D" w:themeColor="accent5" w:themeShade="BF"/>
        </w:rPr>
      </w:pPr>
      <w:r w:rsidRPr="00712109">
        <w:rPr>
          <w:rFonts w:eastAsia="Calibri"/>
          <w:b/>
          <w:bCs/>
          <w:color w:val="77206D" w:themeColor="accent5" w:themeShade="BF"/>
        </w:rPr>
        <w:t>Age UK Reading</w:t>
      </w:r>
    </w:p>
    <w:p w14:paraId="10B8AB20" w14:textId="77777777" w:rsidR="001C07E2" w:rsidRPr="00712109" w:rsidRDefault="001C07E2" w:rsidP="001C07E2">
      <w:pPr>
        <w:ind w:left="1134" w:right="1134"/>
        <w:jc w:val="both"/>
        <w:rPr>
          <w:rFonts w:eastAsia="Times New Roman"/>
          <w:i/>
          <w:iCs/>
          <w:color w:val="77206D" w:themeColor="accent5" w:themeShade="BF"/>
        </w:rPr>
      </w:pPr>
    </w:p>
    <w:p w14:paraId="1789B46F" w14:textId="77777777" w:rsidR="001C07E2" w:rsidRPr="00712109" w:rsidRDefault="001C07E2" w:rsidP="001C07E2">
      <w:pPr>
        <w:ind w:left="1134" w:right="1134"/>
        <w:jc w:val="both"/>
        <w:rPr>
          <w:rFonts w:eastAsia="Times New Roman"/>
          <w:i/>
          <w:iCs/>
          <w:color w:val="77206D" w:themeColor="accent5" w:themeShade="BF"/>
        </w:rPr>
      </w:pPr>
      <w:r w:rsidRPr="00712109">
        <w:rPr>
          <w:rFonts w:eastAsia="Times New Roman"/>
          <w:i/>
          <w:iCs/>
          <w:color w:val="77206D" w:themeColor="accent5" w:themeShade="BF"/>
        </w:rPr>
        <w:t>“We were really grateful for the Cost of Living funding. It made a huge difference and was a substantial amount of money, which helped us to keep running. Similar funds in future would be very much appreciated.”</w:t>
      </w:r>
    </w:p>
    <w:p w14:paraId="18DBB695" w14:textId="77777777" w:rsidR="001C07E2" w:rsidRPr="00712109" w:rsidRDefault="001C07E2" w:rsidP="001C07E2">
      <w:pPr>
        <w:ind w:left="1134" w:right="1134"/>
        <w:jc w:val="both"/>
        <w:rPr>
          <w:rFonts w:eastAsia="Times New Roman"/>
          <w:i/>
          <w:iCs/>
          <w:color w:val="77206D" w:themeColor="accent5" w:themeShade="BF"/>
        </w:rPr>
      </w:pPr>
    </w:p>
    <w:p w14:paraId="3FF824B5" w14:textId="77777777" w:rsidR="001C07E2" w:rsidRPr="00712109" w:rsidRDefault="001C07E2" w:rsidP="001C07E2">
      <w:pPr>
        <w:numPr>
          <w:ilvl w:val="0"/>
          <w:numId w:val="3"/>
        </w:numPr>
        <w:ind w:right="1134"/>
        <w:jc w:val="both"/>
        <w:rPr>
          <w:rFonts w:eastAsia="Times New Roman"/>
          <w:b/>
          <w:bCs/>
          <w:color w:val="77206D" w:themeColor="accent5" w:themeShade="BF"/>
        </w:rPr>
      </w:pPr>
      <w:r w:rsidRPr="00712109">
        <w:rPr>
          <w:rFonts w:eastAsia="Times New Roman"/>
          <w:b/>
          <w:bCs/>
          <w:color w:val="77206D" w:themeColor="accent5" w:themeShade="BF"/>
        </w:rPr>
        <w:t xml:space="preserve">Age UK Hammersmith &amp; Fulham </w:t>
      </w:r>
    </w:p>
    <w:p w14:paraId="2DA4FE89" w14:textId="77777777" w:rsidR="001C07E2" w:rsidRPr="00712109" w:rsidRDefault="001C07E2" w:rsidP="001C07E2">
      <w:pPr>
        <w:ind w:left="1494" w:right="1134"/>
        <w:jc w:val="both"/>
        <w:rPr>
          <w:rFonts w:eastAsia="Times New Roman"/>
          <w:i/>
          <w:iCs/>
          <w:color w:val="77206D" w:themeColor="accent5" w:themeShade="BF"/>
        </w:rPr>
      </w:pPr>
    </w:p>
    <w:p w14:paraId="2DC58BE3" w14:textId="77777777" w:rsidR="001C07E2" w:rsidRPr="00712109" w:rsidRDefault="001C07E2" w:rsidP="001C07E2">
      <w:pPr>
        <w:ind w:left="1134" w:right="1134"/>
        <w:jc w:val="both"/>
        <w:rPr>
          <w:rFonts w:eastAsia="Times New Roman"/>
          <w:i/>
          <w:iCs/>
          <w:color w:val="77206D" w:themeColor="accent5" w:themeShade="BF"/>
        </w:rPr>
      </w:pPr>
      <w:r w:rsidRPr="00712109">
        <w:rPr>
          <w:rFonts w:eastAsia="Times New Roman"/>
          <w:i/>
          <w:iCs/>
          <w:color w:val="77206D" w:themeColor="accent5" w:themeShade="BF"/>
        </w:rPr>
        <w:t>“Age UK Plymouth would like to extend our thanks for the hard work in securing and distributing this funding. This has helped us to assist so many clients and continue to provide the much needed I&amp;A service.”</w:t>
      </w:r>
    </w:p>
    <w:p w14:paraId="0E944D33" w14:textId="77777777" w:rsidR="001C07E2" w:rsidRPr="00712109" w:rsidRDefault="001C07E2" w:rsidP="001C07E2">
      <w:pPr>
        <w:ind w:left="1134" w:right="1134"/>
        <w:jc w:val="both"/>
        <w:rPr>
          <w:rFonts w:eastAsia="Times New Roman"/>
          <w:i/>
          <w:iCs/>
          <w:color w:val="77206D" w:themeColor="accent5" w:themeShade="BF"/>
        </w:rPr>
      </w:pPr>
    </w:p>
    <w:p w14:paraId="6A6246D0" w14:textId="77777777" w:rsidR="001C07E2" w:rsidRPr="00712109" w:rsidRDefault="001C07E2" w:rsidP="001C07E2">
      <w:pPr>
        <w:numPr>
          <w:ilvl w:val="0"/>
          <w:numId w:val="3"/>
        </w:numPr>
        <w:ind w:right="1134"/>
        <w:jc w:val="both"/>
        <w:rPr>
          <w:rFonts w:eastAsia="Times New Roman"/>
          <w:b/>
          <w:bCs/>
          <w:color w:val="77206D" w:themeColor="accent5" w:themeShade="BF"/>
        </w:rPr>
      </w:pPr>
      <w:r w:rsidRPr="00712109">
        <w:rPr>
          <w:rFonts w:eastAsia="Times New Roman"/>
          <w:b/>
          <w:bCs/>
          <w:color w:val="77206D" w:themeColor="accent5" w:themeShade="BF"/>
        </w:rPr>
        <w:t>A</w:t>
      </w:r>
      <w:r>
        <w:rPr>
          <w:rFonts w:eastAsia="Times New Roman"/>
          <w:b/>
          <w:bCs/>
          <w:color w:val="77206D" w:themeColor="accent5" w:themeShade="BF"/>
        </w:rPr>
        <w:t>ge</w:t>
      </w:r>
      <w:r w:rsidRPr="00712109">
        <w:rPr>
          <w:rFonts w:eastAsia="Times New Roman"/>
          <w:b/>
          <w:bCs/>
          <w:color w:val="77206D" w:themeColor="accent5" w:themeShade="BF"/>
        </w:rPr>
        <w:t xml:space="preserve"> UK Plymouth </w:t>
      </w:r>
    </w:p>
    <w:p w14:paraId="5743769F" w14:textId="77777777" w:rsidR="001C07E2" w:rsidRPr="00712109" w:rsidRDefault="001C07E2" w:rsidP="001C07E2">
      <w:pPr>
        <w:ind w:left="1134" w:right="1134"/>
        <w:jc w:val="both"/>
        <w:rPr>
          <w:b/>
          <w:bCs/>
          <w:color w:val="77206D" w:themeColor="accent5" w:themeShade="BF"/>
        </w:rPr>
      </w:pPr>
    </w:p>
    <w:p w14:paraId="522AA287" w14:textId="77777777" w:rsidR="001C07E2" w:rsidRDefault="001C07E2" w:rsidP="001C07E2">
      <w:pPr>
        <w:pStyle w:val="Bullets"/>
        <w:numPr>
          <w:ilvl w:val="0"/>
          <w:numId w:val="0"/>
        </w:numPr>
        <w:ind w:left="1701" w:right="1134" w:hanging="567"/>
        <w:jc w:val="both"/>
        <w:rPr>
          <w:b/>
          <w:bCs/>
        </w:rPr>
      </w:pPr>
    </w:p>
    <w:p w14:paraId="5A34F921" w14:textId="6DD9859D" w:rsidR="001C07E2" w:rsidRDefault="0013197B" w:rsidP="001C07E2">
      <w:pPr>
        <w:jc w:val="both"/>
        <w:rPr>
          <w:b/>
          <w:bCs/>
        </w:rPr>
      </w:pPr>
      <w:r>
        <w:rPr>
          <w:b/>
          <w:bCs/>
        </w:rPr>
        <w:t xml:space="preserve">7.1 </w:t>
      </w:r>
      <w:r w:rsidR="001C07E2" w:rsidRPr="001C6E82">
        <w:rPr>
          <w:b/>
          <w:bCs/>
        </w:rPr>
        <w:t xml:space="preserve">Feedback Survey </w:t>
      </w:r>
    </w:p>
    <w:p w14:paraId="0824DCCF" w14:textId="77777777" w:rsidR="001C07E2" w:rsidRDefault="001C07E2" w:rsidP="001C07E2">
      <w:pPr>
        <w:jc w:val="both"/>
        <w:rPr>
          <w:b/>
          <w:bCs/>
        </w:rPr>
      </w:pPr>
    </w:p>
    <w:p w14:paraId="3D4642A0" w14:textId="77777777" w:rsidR="001C07E2" w:rsidRDefault="001C07E2" w:rsidP="001C07E2">
      <w:pPr>
        <w:jc w:val="both"/>
      </w:pPr>
      <w:r>
        <w:t xml:space="preserve">All </w:t>
      </w:r>
      <w:r w:rsidRPr="005953C7">
        <w:rPr>
          <w:b/>
          <w:bCs/>
          <w:u w:val="single"/>
        </w:rPr>
        <w:t>122</w:t>
      </w:r>
      <w:r>
        <w:t xml:space="preserve"> Network partners taking part in the COLRF were invited to complete an end of Programme feedback survey, we received </w:t>
      </w:r>
      <w:r w:rsidRPr="005953C7">
        <w:rPr>
          <w:b/>
          <w:bCs/>
          <w:u w:val="single"/>
        </w:rPr>
        <w:t>53</w:t>
      </w:r>
      <w:r>
        <w:t xml:space="preserve"> responses, giving a response rate of </w:t>
      </w:r>
      <w:r w:rsidRPr="005953C7">
        <w:rPr>
          <w:b/>
          <w:bCs/>
          <w:u w:val="single"/>
        </w:rPr>
        <w:t>43%</w:t>
      </w:r>
      <w:r>
        <w:t>.</w:t>
      </w:r>
    </w:p>
    <w:p w14:paraId="1EB104F3" w14:textId="77777777" w:rsidR="001C07E2" w:rsidRDefault="001C07E2" w:rsidP="001C07E2">
      <w:pPr>
        <w:jc w:val="both"/>
      </w:pPr>
    </w:p>
    <w:p w14:paraId="4B76D395" w14:textId="77777777" w:rsidR="001C07E2" w:rsidRDefault="001C07E2" w:rsidP="001C07E2">
      <w:pPr>
        <w:jc w:val="both"/>
      </w:pPr>
      <w:r>
        <w:t xml:space="preserve">Most services funded by the COLRF were reported as funding existing services, with </w:t>
      </w:r>
      <w:r w:rsidRPr="005953C7">
        <w:rPr>
          <w:b/>
          <w:bCs/>
          <w:u w:val="single"/>
        </w:rPr>
        <w:t>72%</w:t>
      </w:r>
      <w:r>
        <w:t xml:space="preserve"> of responses indicating the grant provided budget relief. When asked how these services will continue </w:t>
      </w:r>
      <w:r w:rsidRPr="005953C7">
        <w:rPr>
          <w:b/>
          <w:bCs/>
          <w:u w:val="single"/>
        </w:rPr>
        <w:t>27%</w:t>
      </w:r>
      <w:r>
        <w:t xml:space="preserve"> of Partners highlighted that external grants would be used, </w:t>
      </w:r>
      <w:r w:rsidRPr="005953C7">
        <w:rPr>
          <w:b/>
          <w:bCs/>
          <w:u w:val="single"/>
        </w:rPr>
        <w:t>25%</w:t>
      </w:r>
      <w:r w:rsidRPr="00E7754A">
        <w:rPr>
          <w:b/>
          <w:bCs/>
        </w:rPr>
        <w:t xml:space="preserve"> </w:t>
      </w:r>
      <w:r w:rsidRPr="00E7754A">
        <w:t xml:space="preserve">stated </w:t>
      </w:r>
      <w:r w:rsidRPr="008E1ADC">
        <w:t xml:space="preserve">costs </w:t>
      </w:r>
      <w:r>
        <w:t xml:space="preserve">would be absorbed </w:t>
      </w:r>
      <w:r w:rsidRPr="008E1ADC">
        <w:t>internally</w:t>
      </w:r>
      <w:r>
        <w:t xml:space="preserve"> and </w:t>
      </w:r>
      <w:r w:rsidRPr="005953C7">
        <w:rPr>
          <w:b/>
          <w:bCs/>
          <w:u w:val="single"/>
        </w:rPr>
        <w:t>20%</w:t>
      </w:r>
      <w:r>
        <w:t xml:space="preserve"> </w:t>
      </w:r>
      <w:r w:rsidRPr="008E1ADC">
        <w:t>responses stated that fees to clients would be increased.</w:t>
      </w:r>
      <w:r>
        <w:t xml:space="preserve"> ‘other’ responses </w:t>
      </w:r>
      <w:r w:rsidRPr="008E1ADC">
        <w:t>generally cited that the service would not be continuing, staffing reductions or that internal funding would be used until external funding could be sourced</w:t>
      </w:r>
      <w:r>
        <w:t>.</w:t>
      </w:r>
    </w:p>
    <w:p w14:paraId="0EEB6080" w14:textId="77777777" w:rsidR="001C07E2" w:rsidRDefault="001C07E2" w:rsidP="001C07E2">
      <w:pPr>
        <w:jc w:val="both"/>
      </w:pPr>
    </w:p>
    <w:p w14:paraId="289FE4B4" w14:textId="77777777" w:rsidR="001C07E2" w:rsidRDefault="001C07E2" w:rsidP="001C07E2">
      <w:pPr>
        <w:jc w:val="both"/>
      </w:pPr>
      <w:r w:rsidRPr="005953C7">
        <w:rPr>
          <w:b/>
          <w:bCs/>
          <w:u w:val="single"/>
        </w:rPr>
        <w:t>94%</w:t>
      </w:r>
      <w:r>
        <w:t xml:space="preserve"> of Partners reported their agreement or strong agreement that their organisation was still being impacted by the Cost of Living crisis. </w:t>
      </w:r>
      <w:r w:rsidRPr="005953C7">
        <w:rPr>
          <w:b/>
          <w:bCs/>
          <w:u w:val="single"/>
        </w:rPr>
        <w:t>100%</w:t>
      </w:r>
      <w:r>
        <w:t xml:space="preserve"> of responses either agreed or strongly agreed that their clients were still being impacted.</w:t>
      </w:r>
    </w:p>
    <w:p w14:paraId="4D0F4EAC" w14:textId="77777777" w:rsidR="001C07E2" w:rsidRDefault="001C07E2" w:rsidP="001C07E2">
      <w:pPr>
        <w:jc w:val="both"/>
      </w:pPr>
    </w:p>
    <w:p w14:paraId="1915A49C" w14:textId="77777777" w:rsidR="001C07E2" w:rsidRDefault="001C07E2" w:rsidP="001C07E2">
      <w:pPr>
        <w:jc w:val="both"/>
      </w:pPr>
      <w:r w:rsidRPr="005953C7">
        <w:rPr>
          <w:b/>
          <w:bCs/>
          <w:u w:val="single"/>
        </w:rPr>
        <w:t>85%</w:t>
      </w:r>
      <w:r w:rsidRPr="008E1ADC">
        <w:t xml:space="preserve"> of Partners indicated that the main challenge faced across the last year was funding. Other challenges include</w:t>
      </w:r>
      <w:r>
        <w:t>d</w:t>
      </w:r>
      <w:r w:rsidRPr="008E1ADC">
        <w:t xml:space="preserve"> increasing loneliness and isolation of older people, lack of transport, minimum wage increase</w:t>
      </w:r>
      <w:r>
        <w:t xml:space="preserve"> and</w:t>
      </w:r>
      <w:r w:rsidRPr="008E1ADC">
        <w:t xml:space="preserve"> demand exceeding capacity</w:t>
      </w:r>
    </w:p>
    <w:p w14:paraId="6E58B8A1" w14:textId="77777777" w:rsidR="001C07E2" w:rsidRDefault="001C07E2" w:rsidP="001C07E2">
      <w:pPr>
        <w:keepNext/>
        <w:jc w:val="both"/>
      </w:pPr>
      <w:r>
        <w:lastRenderedPageBreak/>
        <w:t xml:space="preserve">When asked what challenges Partners expect to face in the coming year, there are some notable differences in responses. Funding is still the most cited challenge, but there is a </w:t>
      </w:r>
      <w:r w:rsidRPr="005953C7">
        <w:rPr>
          <w:b/>
          <w:bCs/>
          <w:u w:val="single"/>
        </w:rPr>
        <w:t>7%</w:t>
      </w:r>
      <w:r>
        <w:t xml:space="preserve"> increase from </w:t>
      </w:r>
      <w:r w:rsidRPr="005953C7">
        <w:rPr>
          <w:b/>
          <w:bCs/>
          <w:u w:val="single"/>
        </w:rPr>
        <w:t>85%</w:t>
      </w:r>
      <w:r>
        <w:t xml:space="preserve"> to </w:t>
      </w:r>
      <w:r w:rsidRPr="005953C7">
        <w:rPr>
          <w:b/>
          <w:bCs/>
          <w:u w:val="single"/>
        </w:rPr>
        <w:t>92%.</w:t>
      </w:r>
      <w:r>
        <w:t xml:space="preserve"> Waiting lists and complex cases sit jointly at </w:t>
      </w:r>
      <w:r w:rsidRPr="005953C7">
        <w:rPr>
          <w:b/>
          <w:bCs/>
          <w:u w:val="single"/>
        </w:rPr>
        <w:t>60%</w:t>
      </w:r>
      <w:r>
        <w:t xml:space="preserve">, however this is a </w:t>
      </w:r>
      <w:r w:rsidRPr="005953C7">
        <w:rPr>
          <w:b/>
          <w:bCs/>
          <w:u w:val="single"/>
        </w:rPr>
        <w:t>4%</w:t>
      </w:r>
      <w:r>
        <w:t xml:space="preserve"> decrease for waiting lists and a </w:t>
      </w:r>
      <w:r w:rsidRPr="005953C7">
        <w:rPr>
          <w:b/>
          <w:bCs/>
          <w:u w:val="single"/>
        </w:rPr>
        <w:t xml:space="preserve">6% </w:t>
      </w:r>
      <w:r>
        <w:t xml:space="preserve">increase for complex cases. Lack of volunteers decreased by </w:t>
      </w:r>
      <w:r w:rsidRPr="005953C7">
        <w:rPr>
          <w:b/>
          <w:bCs/>
          <w:u w:val="single"/>
        </w:rPr>
        <w:t>6%</w:t>
      </w:r>
      <w:r>
        <w:t xml:space="preserve"> to </w:t>
      </w:r>
      <w:r w:rsidRPr="005953C7">
        <w:rPr>
          <w:b/>
          <w:bCs/>
          <w:u w:val="single"/>
        </w:rPr>
        <w:t>45%</w:t>
      </w:r>
      <w:r>
        <w:t xml:space="preserve"> and organisation restructure rose from </w:t>
      </w:r>
      <w:r w:rsidRPr="005953C7">
        <w:rPr>
          <w:b/>
          <w:bCs/>
          <w:u w:val="single"/>
        </w:rPr>
        <w:t>4%</w:t>
      </w:r>
      <w:r>
        <w:t xml:space="preserve"> to </w:t>
      </w:r>
      <w:r w:rsidRPr="005953C7">
        <w:rPr>
          <w:b/>
          <w:bCs/>
          <w:u w:val="single"/>
        </w:rPr>
        <w:t>25%.</w:t>
      </w:r>
      <w:r>
        <w:t xml:space="preserve"> </w:t>
      </w:r>
    </w:p>
    <w:p w14:paraId="3707F6F5" w14:textId="77777777" w:rsidR="001C07E2" w:rsidRDefault="001C07E2" w:rsidP="001C07E2">
      <w:pPr>
        <w:keepNext/>
        <w:jc w:val="both"/>
      </w:pPr>
    </w:p>
    <w:p w14:paraId="5CAFEF06" w14:textId="77777777" w:rsidR="001C07E2" w:rsidRDefault="001C07E2" w:rsidP="001C07E2">
      <w:pPr>
        <w:keepNext/>
        <w:jc w:val="both"/>
      </w:pPr>
      <w:r>
        <w:t xml:space="preserve">The largest increase in response was for staff illness/turnover, which was not cited as a challenge for the previous year but is cited as a challenge for the coming year by </w:t>
      </w:r>
      <w:r w:rsidRPr="005953C7">
        <w:rPr>
          <w:b/>
          <w:bCs/>
          <w:u w:val="single"/>
        </w:rPr>
        <w:t>32%</w:t>
      </w:r>
      <w:r>
        <w:t xml:space="preserve"> of partners. Responses of “other” to this question cited common themes such as an inability to raise staff salaries, an increased demand for services which exceeds capacity, a loss of income from Local Authority grants and rising utility bill costs.</w:t>
      </w:r>
    </w:p>
    <w:p w14:paraId="77ABE34B" w14:textId="77777777" w:rsidR="001C07E2" w:rsidRDefault="001C07E2" w:rsidP="001C07E2">
      <w:pPr>
        <w:keepNext/>
        <w:jc w:val="both"/>
      </w:pPr>
    </w:p>
    <w:p w14:paraId="6471A0CE" w14:textId="77777777" w:rsidR="001C07E2" w:rsidRDefault="001C07E2" w:rsidP="001C07E2">
      <w:pPr>
        <w:jc w:val="both"/>
      </w:pPr>
      <w:r>
        <w:t xml:space="preserve">The results of this survey show that the Cost of Living programme was impactful, and the funding strongly appreciated, allowing partners to continue to offer services to their clients as well as delivering new services alongside existing services and development of new services. </w:t>
      </w:r>
    </w:p>
    <w:p w14:paraId="3C5D6D55" w14:textId="573CFFFA" w:rsidR="001C07E2" w:rsidRDefault="001C07E2" w:rsidP="001C07E2">
      <w:pPr>
        <w:spacing w:after="160" w:line="259" w:lineRule="auto"/>
        <w:ind w:left="0"/>
        <w:jc w:val="both"/>
        <w:rPr>
          <w:b/>
          <w:bCs/>
        </w:rPr>
      </w:pPr>
    </w:p>
    <w:p w14:paraId="4A29B120" w14:textId="3584FB20" w:rsidR="007908BD" w:rsidRDefault="007908BD">
      <w:pPr>
        <w:spacing w:after="160" w:line="259" w:lineRule="auto"/>
        <w:ind w:left="0"/>
        <w:rPr>
          <w:b/>
          <w:bCs/>
        </w:rPr>
      </w:pPr>
      <w:r>
        <w:rPr>
          <w:b/>
          <w:bCs/>
        </w:rPr>
        <w:br w:type="page"/>
      </w:r>
    </w:p>
    <w:p w14:paraId="435E8A5B" w14:textId="77777777" w:rsidR="001C07E2" w:rsidRDefault="001C07E2">
      <w:pPr>
        <w:spacing w:after="160" w:line="259" w:lineRule="auto"/>
        <w:ind w:left="0"/>
        <w:rPr>
          <w:b/>
          <w:bCs/>
        </w:rPr>
      </w:pPr>
    </w:p>
    <w:p w14:paraId="673823A7" w14:textId="0D13C2ED" w:rsidR="001C07E2" w:rsidRPr="000F5A44" w:rsidRDefault="001C07E2" w:rsidP="001C07E2">
      <w:pPr>
        <w:pStyle w:val="Bullets"/>
        <w:numPr>
          <w:ilvl w:val="0"/>
          <w:numId w:val="0"/>
        </w:numPr>
        <w:ind w:left="1701" w:right="1134" w:hanging="567"/>
        <w:jc w:val="both"/>
        <w:rPr>
          <w:b/>
          <w:bCs/>
        </w:rPr>
      </w:pPr>
      <w:r w:rsidRPr="000F5A44">
        <w:rPr>
          <w:b/>
          <w:bCs/>
        </w:rPr>
        <w:t>Appendices</w:t>
      </w:r>
    </w:p>
    <w:p w14:paraId="6FBCAC56" w14:textId="77777777" w:rsidR="001C07E2" w:rsidRDefault="001C07E2" w:rsidP="001C07E2">
      <w:pPr>
        <w:pStyle w:val="Bullets"/>
        <w:numPr>
          <w:ilvl w:val="0"/>
          <w:numId w:val="0"/>
        </w:numPr>
        <w:ind w:left="1134" w:right="1134"/>
        <w:jc w:val="both"/>
        <w:rPr>
          <w:b/>
          <w:bCs/>
        </w:rPr>
      </w:pPr>
    </w:p>
    <w:p w14:paraId="342C43F2" w14:textId="6B36A9C3" w:rsidR="001C07E2" w:rsidRPr="000F5A44" w:rsidRDefault="001C07E2" w:rsidP="001C07E2">
      <w:pPr>
        <w:pStyle w:val="Bullets"/>
        <w:numPr>
          <w:ilvl w:val="0"/>
          <w:numId w:val="0"/>
        </w:numPr>
        <w:ind w:left="1134" w:right="1134"/>
        <w:jc w:val="both"/>
        <w:rPr>
          <w:b/>
          <w:bCs/>
        </w:rPr>
      </w:pPr>
      <w:r w:rsidRPr="000F5A44">
        <w:rPr>
          <w:noProof/>
        </w:rPr>
        <w:drawing>
          <wp:anchor distT="0" distB="0" distL="114300" distR="114300" simplePos="0" relativeHeight="251661312" behindDoc="0" locked="0" layoutInCell="1" allowOverlap="1" wp14:anchorId="74593CC4" wp14:editId="5C03EF54">
            <wp:simplePos x="0" y="0"/>
            <wp:positionH relativeFrom="margin">
              <wp:posOffset>775970</wp:posOffset>
            </wp:positionH>
            <wp:positionV relativeFrom="paragraph">
              <wp:posOffset>295275</wp:posOffset>
            </wp:positionV>
            <wp:extent cx="3672205" cy="2493010"/>
            <wp:effectExtent l="0" t="0" r="4445" b="2540"/>
            <wp:wrapTopAndBottom/>
            <wp:docPr id="1252163958"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63958" name="Picture 3" descr="A graph of a number of peop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2205" cy="2493010"/>
                    </a:xfrm>
                    <a:prstGeom prst="rect">
                      <a:avLst/>
                    </a:prstGeom>
                    <a:noFill/>
                  </pic:spPr>
                </pic:pic>
              </a:graphicData>
            </a:graphic>
            <wp14:sizeRelH relativeFrom="page">
              <wp14:pctWidth>0</wp14:pctWidth>
            </wp14:sizeRelH>
            <wp14:sizeRelV relativeFrom="page">
              <wp14:pctHeight>0</wp14:pctHeight>
            </wp14:sizeRelV>
          </wp:anchor>
        </w:drawing>
      </w:r>
      <w:r w:rsidRPr="000F5A44">
        <w:rPr>
          <w:noProof/>
        </w:rPr>
        <w:drawing>
          <wp:anchor distT="0" distB="0" distL="114300" distR="114300" simplePos="0" relativeHeight="251662336" behindDoc="0" locked="0" layoutInCell="1" allowOverlap="1" wp14:anchorId="3F2B723E" wp14:editId="00CA7A5C">
            <wp:simplePos x="0" y="0"/>
            <wp:positionH relativeFrom="margin">
              <wp:posOffset>721995</wp:posOffset>
            </wp:positionH>
            <wp:positionV relativeFrom="paragraph">
              <wp:posOffset>2874645</wp:posOffset>
            </wp:positionV>
            <wp:extent cx="3686810" cy="2247900"/>
            <wp:effectExtent l="0" t="0" r="8890" b="0"/>
            <wp:wrapTopAndBottom/>
            <wp:docPr id="659165904" name="Picture 4" descr="A graph of a number of different credit ty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65904" name="Picture 4" descr="A graph of a number of different credit type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810" cy="2247900"/>
                    </a:xfrm>
                    <a:prstGeom prst="rect">
                      <a:avLst/>
                    </a:prstGeom>
                    <a:noFill/>
                  </pic:spPr>
                </pic:pic>
              </a:graphicData>
            </a:graphic>
            <wp14:sizeRelH relativeFrom="page">
              <wp14:pctWidth>0</wp14:pctWidth>
            </wp14:sizeRelH>
            <wp14:sizeRelV relativeFrom="page">
              <wp14:pctHeight>0</wp14:pctHeight>
            </wp14:sizeRelV>
          </wp:anchor>
        </w:drawing>
      </w:r>
      <w:r>
        <w:rPr>
          <w:b/>
          <w:bCs/>
        </w:rPr>
        <w:t>Appendix A</w:t>
      </w:r>
    </w:p>
    <w:p w14:paraId="2137798D" w14:textId="1BCBB95A" w:rsidR="001C07E2" w:rsidRPr="000F5A44" w:rsidRDefault="001C07E2" w:rsidP="001C07E2">
      <w:pPr>
        <w:ind w:right="1134"/>
        <w:jc w:val="both"/>
        <w:rPr>
          <w:b/>
          <w:bCs/>
        </w:rPr>
      </w:pPr>
    </w:p>
    <w:p w14:paraId="683ED982" w14:textId="680F79C7" w:rsidR="001C07E2" w:rsidRPr="000F5A44" w:rsidRDefault="007908BD" w:rsidP="001C07E2">
      <w:pPr>
        <w:ind w:left="1134" w:right="1134"/>
        <w:jc w:val="both"/>
        <w:rPr>
          <w:b/>
          <w:bCs/>
        </w:rPr>
      </w:pPr>
      <w:r w:rsidRPr="000F5A44">
        <w:rPr>
          <w:noProof/>
        </w:rPr>
        <w:drawing>
          <wp:anchor distT="0" distB="0" distL="114300" distR="114300" simplePos="0" relativeHeight="251663360" behindDoc="0" locked="0" layoutInCell="1" allowOverlap="1" wp14:anchorId="72C4D9FC" wp14:editId="34BFBCE5">
            <wp:simplePos x="0" y="0"/>
            <wp:positionH relativeFrom="margin">
              <wp:align>center</wp:align>
            </wp:positionH>
            <wp:positionV relativeFrom="paragraph">
              <wp:posOffset>269240</wp:posOffset>
            </wp:positionV>
            <wp:extent cx="3703955" cy="2691130"/>
            <wp:effectExtent l="0" t="0" r="0" b="0"/>
            <wp:wrapTopAndBottom/>
            <wp:docPr id="2103266491" name="Picture 1" descr="A chart with green squar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20318" name="Picture 1" descr="A chart with green squares and number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3955" cy="2691130"/>
                    </a:xfrm>
                    <a:prstGeom prst="rect">
                      <a:avLst/>
                    </a:prstGeom>
                    <a:noFill/>
                  </pic:spPr>
                </pic:pic>
              </a:graphicData>
            </a:graphic>
            <wp14:sizeRelH relativeFrom="page">
              <wp14:pctWidth>0</wp14:pctWidth>
            </wp14:sizeRelH>
            <wp14:sizeRelV relativeFrom="page">
              <wp14:pctHeight>0</wp14:pctHeight>
            </wp14:sizeRelV>
          </wp:anchor>
        </w:drawing>
      </w:r>
      <w:r w:rsidR="001C07E2">
        <w:rPr>
          <w:b/>
          <w:bCs/>
        </w:rPr>
        <w:t>Appendix B</w:t>
      </w:r>
    </w:p>
    <w:p w14:paraId="4E2B2E69" w14:textId="77777777" w:rsidR="001C07E2" w:rsidRDefault="001C07E2" w:rsidP="001C07E2">
      <w:pPr>
        <w:ind w:left="0" w:right="1134"/>
        <w:jc w:val="both"/>
        <w:rPr>
          <w:b/>
          <w:bCs/>
        </w:rPr>
      </w:pPr>
    </w:p>
    <w:p w14:paraId="69A05858" w14:textId="20EE1104" w:rsidR="001C07E2" w:rsidRDefault="001C07E2" w:rsidP="001C07E2">
      <w:pPr>
        <w:ind w:left="0" w:right="1134"/>
        <w:jc w:val="both"/>
        <w:rPr>
          <w:b/>
          <w:bCs/>
        </w:rPr>
      </w:pPr>
    </w:p>
    <w:p w14:paraId="476A1EE1" w14:textId="77777777" w:rsidR="001C07E2" w:rsidRDefault="001C07E2" w:rsidP="001C07E2">
      <w:pPr>
        <w:ind w:left="1134" w:right="1134"/>
        <w:jc w:val="both"/>
        <w:rPr>
          <w:b/>
          <w:bCs/>
        </w:rPr>
      </w:pPr>
      <w:r>
        <w:rPr>
          <w:b/>
          <w:bCs/>
        </w:rPr>
        <w:t>Appendix C</w:t>
      </w:r>
    </w:p>
    <w:p w14:paraId="4D2F81B1" w14:textId="122C82DE" w:rsidR="001C07E2" w:rsidRDefault="001C07E2" w:rsidP="001C07E2">
      <w:pPr>
        <w:ind w:left="0" w:right="1134"/>
        <w:jc w:val="both"/>
        <w:rPr>
          <w:b/>
          <w:bCs/>
        </w:rPr>
      </w:pPr>
    </w:p>
    <w:p w14:paraId="328F48FB" w14:textId="77777777" w:rsidR="001C07E2" w:rsidRDefault="001C07E2" w:rsidP="001C07E2">
      <w:pPr>
        <w:ind w:left="1134" w:right="1134"/>
        <w:jc w:val="both"/>
        <w:rPr>
          <w:b/>
          <w:bCs/>
        </w:rPr>
      </w:pPr>
    </w:p>
    <w:p w14:paraId="3DEF8B51" w14:textId="77777777" w:rsidR="001C07E2" w:rsidRDefault="001C07E2" w:rsidP="001C07E2">
      <w:pPr>
        <w:ind w:left="1134" w:right="1134"/>
        <w:jc w:val="both"/>
        <w:rPr>
          <w:b/>
          <w:bCs/>
        </w:rPr>
      </w:pPr>
      <w:r>
        <w:rPr>
          <w:b/>
          <w:bCs/>
          <w:noProof/>
        </w:rPr>
        <w:drawing>
          <wp:inline distT="0" distB="0" distL="0" distR="0" wp14:anchorId="5B6A10D1" wp14:editId="0F140030">
            <wp:extent cx="4297982" cy="2381693"/>
            <wp:effectExtent l="0" t="0" r="7620" b="0"/>
            <wp:docPr id="446886864" name="Picture 1" descr="A graph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86864" name="Picture 1" descr="A graph with numbers an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1498" cy="2383641"/>
                    </a:xfrm>
                    <a:prstGeom prst="rect">
                      <a:avLst/>
                    </a:prstGeom>
                    <a:noFill/>
                  </pic:spPr>
                </pic:pic>
              </a:graphicData>
            </a:graphic>
          </wp:inline>
        </w:drawing>
      </w:r>
    </w:p>
    <w:p w14:paraId="29C07CDE" w14:textId="77777777" w:rsidR="001C07E2" w:rsidRDefault="001C07E2" w:rsidP="001C07E2">
      <w:pPr>
        <w:ind w:left="1134" w:right="1134"/>
        <w:jc w:val="both"/>
        <w:rPr>
          <w:b/>
          <w:bCs/>
        </w:rPr>
      </w:pPr>
    </w:p>
    <w:p w14:paraId="58830D57" w14:textId="77777777" w:rsidR="001C07E2" w:rsidRDefault="001C07E2" w:rsidP="001C07E2">
      <w:pPr>
        <w:ind w:left="1134" w:right="1134"/>
        <w:jc w:val="both"/>
        <w:rPr>
          <w:b/>
          <w:bCs/>
        </w:rPr>
      </w:pPr>
      <w:r>
        <w:rPr>
          <w:b/>
          <w:bCs/>
        </w:rPr>
        <w:t>Appendix D</w:t>
      </w:r>
    </w:p>
    <w:p w14:paraId="36A3A164" w14:textId="77777777" w:rsidR="001C07E2" w:rsidRDefault="001C07E2" w:rsidP="001C07E2">
      <w:pPr>
        <w:ind w:left="0" w:right="1134"/>
        <w:jc w:val="both"/>
        <w:rPr>
          <w:b/>
          <w:bCs/>
        </w:rPr>
      </w:pPr>
      <w:r>
        <w:rPr>
          <w:b/>
          <w:bCs/>
          <w:noProof/>
        </w:rPr>
        <w:drawing>
          <wp:anchor distT="0" distB="0" distL="114300" distR="114300" simplePos="0" relativeHeight="251664384" behindDoc="0" locked="0" layoutInCell="1" allowOverlap="1" wp14:anchorId="0D57F840" wp14:editId="0994E0ED">
            <wp:simplePos x="0" y="0"/>
            <wp:positionH relativeFrom="column">
              <wp:posOffset>628650</wp:posOffset>
            </wp:positionH>
            <wp:positionV relativeFrom="paragraph">
              <wp:posOffset>248920</wp:posOffset>
            </wp:positionV>
            <wp:extent cx="4669790" cy="2207260"/>
            <wp:effectExtent l="0" t="0" r="0" b="2540"/>
            <wp:wrapTopAndBottom/>
            <wp:docPr id="588782394"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82394" name="Picture 1" descr="A graph with numbers and a b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790" cy="2207260"/>
                    </a:xfrm>
                    <a:prstGeom prst="rect">
                      <a:avLst/>
                    </a:prstGeom>
                    <a:noFill/>
                  </pic:spPr>
                </pic:pic>
              </a:graphicData>
            </a:graphic>
            <wp14:sizeRelH relativeFrom="page">
              <wp14:pctWidth>0</wp14:pctWidth>
            </wp14:sizeRelH>
            <wp14:sizeRelV relativeFrom="page">
              <wp14:pctHeight>0</wp14:pctHeight>
            </wp14:sizeRelV>
          </wp:anchor>
        </w:drawing>
      </w:r>
    </w:p>
    <w:p w14:paraId="3E734A8D" w14:textId="77777777" w:rsidR="001C07E2" w:rsidRDefault="001C07E2" w:rsidP="001C07E2">
      <w:pPr>
        <w:ind w:left="1134" w:right="1134"/>
        <w:jc w:val="both"/>
        <w:rPr>
          <w:b/>
          <w:bCs/>
        </w:rPr>
      </w:pPr>
    </w:p>
    <w:p w14:paraId="67FFD92A" w14:textId="77777777" w:rsidR="001C07E2" w:rsidRDefault="001C07E2" w:rsidP="001C07E2">
      <w:pPr>
        <w:ind w:left="1134" w:right="1134"/>
        <w:jc w:val="both"/>
        <w:rPr>
          <w:b/>
          <w:bCs/>
        </w:rPr>
      </w:pPr>
    </w:p>
    <w:p w14:paraId="5D3B0735" w14:textId="77777777" w:rsidR="001C07E2" w:rsidRPr="000F5A44" w:rsidRDefault="001C07E2" w:rsidP="001C07E2">
      <w:pPr>
        <w:ind w:left="1134" w:right="1134"/>
        <w:jc w:val="both"/>
        <w:rPr>
          <w:b/>
          <w:bCs/>
        </w:rPr>
      </w:pPr>
      <w:r>
        <w:rPr>
          <w:b/>
          <w:bCs/>
        </w:rPr>
        <w:t>Appendix E</w:t>
      </w:r>
    </w:p>
    <w:p w14:paraId="3C906C1F" w14:textId="77777777" w:rsidR="001C07E2" w:rsidRPr="000F5A44" w:rsidRDefault="001C07E2" w:rsidP="001C07E2">
      <w:pPr>
        <w:ind w:left="1134" w:right="1134"/>
        <w:jc w:val="both"/>
        <w:rPr>
          <w:b/>
          <w:bCs/>
        </w:rPr>
      </w:pPr>
      <w:r w:rsidRPr="002249C3">
        <w:rPr>
          <w:rFonts w:eastAsia="Calibri"/>
          <w:noProof/>
        </w:rPr>
        <w:drawing>
          <wp:anchor distT="0" distB="0" distL="114300" distR="114300" simplePos="0" relativeHeight="251666432" behindDoc="0" locked="0" layoutInCell="1" allowOverlap="1" wp14:anchorId="3364C264" wp14:editId="3B82587D">
            <wp:simplePos x="0" y="0"/>
            <wp:positionH relativeFrom="margin">
              <wp:posOffset>1910715</wp:posOffset>
            </wp:positionH>
            <wp:positionV relativeFrom="paragraph">
              <wp:posOffset>299720</wp:posOffset>
            </wp:positionV>
            <wp:extent cx="4025265" cy="1732280"/>
            <wp:effectExtent l="0" t="0" r="0" b="1270"/>
            <wp:wrapTopAndBottom/>
            <wp:docPr id="1097860257" name="Picture 2" descr="A graph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of blue ba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265" cy="173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49C3">
        <w:rPr>
          <w:rFonts w:eastAsia="Times New Roman"/>
          <w:noProof/>
        </w:rPr>
        <w:drawing>
          <wp:anchor distT="0" distB="0" distL="114300" distR="114300" simplePos="0" relativeHeight="251665408" behindDoc="0" locked="0" layoutInCell="1" allowOverlap="1" wp14:anchorId="12897BF2" wp14:editId="3F649FCC">
            <wp:simplePos x="0" y="0"/>
            <wp:positionH relativeFrom="margin">
              <wp:align>left</wp:align>
            </wp:positionH>
            <wp:positionV relativeFrom="paragraph">
              <wp:posOffset>311150</wp:posOffset>
            </wp:positionV>
            <wp:extent cx="1844040" cy="1650365"/>
            <wp:effectExtent l="0" t="0" r="3810" b="6985"/>
            <wp:wrapTopAndBottom/>
            <wp:docPr id="2087487632" name="Picture 2" descr="A pie chart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ie chart with numbers and a few percentag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404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0C25F" w14:textId="77777777" w:rsidR="001C07E2" w:rsidRPr="000F5A44" w:rsidRDefault="001C07E2" w:rsidP="001C07E2">
      <w:pPr>
        <w:ind w:left="1134" w:right="1134"/>
        <w:jc w:val="both"/>
        <w:rPr>
          <w:b/>
          <w:bCs/>
        </w:rPr>
      </w:pPr>
    </w:p>
    <w:p w14:paraId="79DE2AEB" w14:textId="77777777" w:rsidR="009B637F" w:rsidRDefault="009B637F"/>
    <w:sectPr w:rsidR="009B6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8977C" w14:textId="77777777" w:rsidR="001C07E2" w:rsidRDefault="001C07E2" w:rsidP="001C07E2">
      <w:r>
        <w:separator/>
      </w:r>
    </w:p>
  </w:endnote>
  <w:endnote w:type="continuationSeparator" w:id="0">
    <w:p w14:paraId="15A1CEB7" w14:textId="77777777" w:rsidR="001C07E2" w:rsidRDefault="001C07E2" w:rsidP="001C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B972B" w14:textId="77777777" w:rsidR="001C07E2" w:rsidRDefault="001C07E2" w:rsidP="001C07E2">
      <w:r>
        <w:separator/>
      </w:r>
    </w:p>
  </w:footnote>
  <w:footnote w:type="continuationSeparator" w:id="0">
    <w:p w14:paraId="5C08BDC8" w14:textId="77777777" w:rsidR="001C07E2" w:rsidRDefault="001C07E2" w:rsidP="001C07E2">
      <w:r>
        <w:continuationSeparator/>
      </w:r>
    </w:p>
  </w:footnote>
  <w:footnote w:id="1">
    <w:p w14:paraId="12532762" w14:textId="77777777" w:rsidR="001C07E2" w:rsidRDefault="001C07E2" w:rsidP="001C07E2">
      <w:pPr>
        <w:pStyle w:val="FootnoteText"/>
      </w:pPr>
      <w:r>
        <w:rPr>
          <w:rStyle w:val="FootnoteReference"/>
        </w:rPr>
        <w:footnoteRef/>
      </w:r>
      <w:r>
        <w:t xml:space="preserve"> i</w:t>
      </w:r>
      <w:r w:rsidRPr="00F517E8">
        <w:t>f an older person has been supported by more than one intervention; they have been counted more than once. Therefore, the total number of older people reached in this figure is less than when each of the interventions are totalled.  </w:t>
      </w:r>
    </w:p>
  </w:footnote>
  <w:footnote w:id="2">
    <w:p w14:paraId="1B1A9F04" w14:textId="77777777" w:rsidR="001C07E2" w:rsidRDefault="001C07E2" w:rsidP="001C07E2">
      <w:pPr>
        <w:pStyle w:val="FootnoteText"/>
      </w:pPr>
      <w:r>
        <w:rPr>
          <w:rStyle w:val="FootnoteReference"/>
        </w:rPr>
        <w:footnoteRef/>
      </w:r>
      <w:r>
        <w:t xml:space="preserve"> One Partner was given a two month extension to complete their Programme</w:t>
      </w:r>
    </w:p>
  </w:footnote>
  <w:footnote w:id="3">
    <w:p w14:paraId="675309B5" w14:textId="77777777" w:rsidR="001C07E2" w:rsidRDefault="001C07E2" w:rsidP="001C07E2">
      <w:pPr>
        <w:pStyle w:val="FootnoteText"/>
      </w:pPr>
      <w:r>
        <w:rPr>
          <w:rStyle w:val="FootnoteReference"/>
        </w:rPr>
        <w:footnoteRef/>
      </w:r>
      <w:r>
        <w:t xml:space="preserve"> Time data was available for 33 of 43 partners</w:t>
      </w:r>
    </w:p>
  </w:footnote>
  <w:footnote w:id="4">
    <w:p w14:paraId="77A859DD" w14:textId="77777777" w:rsidR="001C07E2" w:rsidRDefault="001C07E2" w:rsidP="001C07E2">
      <w:pPr>
        <w:pStyle w:val="FootnoteText"/>
        <w:ind w:left="1134" w:right="1134"/>
      </w:pPr>
      <w:r>
        <w:rPr>
          <w:rStyle w:val="FootnoteReference"/>
        </w:rPr>
        <w:footnoteRef/>
      </w:r>
      <w:r>
        <w:t xml:space="preserve"> IMD relates to the Index of Multiple Deprivations, which </w:t>
      </w:r>
      <w:r w:rsidRPr="001C60CA">
        <w:t>relatively rank each small area in England from most deprived to least deprived</w:t>
      </w:r>
      <w:r>
        <w:t xml:space="preserve">. In this example the IMD decile are being used which divide the small areas into deciles of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12D"/>
    <w:multiLevelType w:val="hybridMultilevel"/>
    <w:tmpl w:val="CD082F2E"/>
    <w:lvl w:ilvl="0" w:tplc="6D362E0E">
      <w:start w:val="1"/>
      <w:numFmt w:val="bullet"/>
      <w:pStyle w:val="Sub-Bullets"/>
      <w:lvlText w:val=""/>
      <w:lvlJc w:val="left"/>
      <w:pPr>
        <w:ind w:left="1352"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73842F2"/>
    <w:multiLevelType w:val="multilevel"/>
    <w:tmpl w:val="A3687ECA"/>
    <w:lvl w:ilvl="0">
      <w:start w:val="1"/>
      <w:numFmt w:val="decimal"/>
      <w:lvlText w:val="%1."/>
      <w:lvlJc w:val="left"/>
      <w:pPr>
        <w:ind w:left="1352" w:hanging="360"/>
      </w:pPr>
      <w:rPr>
        <w:rFonts w:hint="default"/>
      </w:rPr>
    </w:lvl>
    <w:lvl w:ilvl="1">
      <w:numFmt w:val="bullet"/>
      <w:lvlText w:val="-"/>
      <w:lvlJc w:val="left"/>
      <w:pPr>
        <w:ind w:left="1494" w:hanging="360"/>
      </w:pPr>
      <w:rPr>
        <w:rFonts w:ascii="Arial" w:eastAsiaTheme="minorHAnsi" w:hAnsi="Arial" w:cs="Arial"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FCC5804"/>
    <w:multiLevelType w:val="multilevel"/>
    <w:tmpl w:val="A2947B94"/>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331950"/>
    <w:multiLevelType w:val="hybridMultilevel"/>
    <w:tmpl w:val="A2FAC6E2"/>
    <w:lvl w:ilvl="0" w:tplc="E57C82D4">
      <w:start w:val="2"/>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410A5D10"/>
    <w:multiLevelType w:val="multilevel"/>
    <w:tmpl w:val="479478F4"/>
    <w:lvl w:ilvl="0">
      <w:start w:val="1"/>
      <w:numFmt w:val="decimal"/>
      <w:lvlText w:val="%1."/>
      <w:lvlJc w:val="left"/>
      <w:pPr>
        <w:ind w:left="1352"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292982744">
    <w:abstractNumId w:val="0"/>
  </w:num>
  <w:num w:numId="2" w16cid:durableId="1470124470">
    <w:abstractNumId w:val="4"/>
  </w:num>
  <w:num w:numId="3" w16cid:durableId="499076537">
    <w:abstractNumId w:val="3"/>
  </w:num>
  <w:num w:numId="4" w16cid:durableId="68385988">
    <w:abstractNumId w:val="1"/>
  </w:num>
  <w:num w:numId="5" w16cid:durableId="57764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E2"/>
    <w:rsid w:val="0013197B"/>
    <w:rsid w:val="001C07E2"/>
    <w:rsid w:val="006409C9"/>
    <w:rsid w:val="006B4A0C"/>
    <w:rsid w:val="007908BD"/>
    <w:rsid w:val="0082563B"/>
    <w:rsid w:val="009B637F"/>
    <w:rsid w:val="00AD0791"/>
    <w:rsid w:val="00B8371F"/>
    <w:rsid w:val="00E72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C6F3"/>
  <w15:chartTrackingRefBased/>
  <w15:docId w15:val="{07A49512-0834-4D9F-8409-12EE59F1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1C07E2"/>
    <w:pPr>
      <w:spacing w:after="0" w:line="240" w:lineRule="auto"/>
      <w:ind w:left="567"/>
    </w:pPr>
    <w:rPr>
      <w:rFonts w:ascii="Arial" w:hAnsi="Arial" w:cs="Arial"/>
      <w:kern w:val="0"/>
      <w:lang w:eastAsia="en-GB"/>
      <w14:ligatures w14:val="none"/>
    </w:rPr>
  </w:style>
  <w:style w:type="paragraph" w:styleId="Heading1">
    <w:name w:val="heading 1"/>
    <w:basedOn w:val="Normal"/>
    <w:next w:val="Normal"/>
    <w:link w:val="Heading1Char"/>
    <w:uiPriority w:val="9"/>
    <w:qFormat/>
    <w:rsid w:val="001C0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7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7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7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7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7E2"/>
    <w:rPr>
      <w:rFonts w:eastAsiaTheme="majorEastAsia" w:cstheme="majorBidi"/>
      <w:color w:val="272727" w:themeColor="text1" w:themeTint="D8"/>
    </w:rPr>
  </w:style>
  <w:style w:type="paragraph" w:styleId="Title">
    <w:name w:val="Title"/>
    <w:basedOn w:val="Normal"/>
    <w:next w:val="Normal"/>
    <w:link w:val="TitleChar"/>
    <w:uiPriority w:val="10"/>
    <w:qFormat/>
    <w:rsid w:val="001C07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7E2"/>
    <w:pPr>
      <w:spacing w:before="160"/>
      <w:jc w:val="center"/>
    </w:pPr>
    <w:rPr>
      <w:i/>
      <w:iCs/>
      <w:color w:val="404040" w:themeColor="text1" w:themeTint="BF"/>
    </w:rPr>
  </w:style>
  <w:style w:type="character" w:customStyle="1" w:styleId="QuoteChar">
    <w:name w:val="Quote Char"/>
    <w:basedOn w:val="DefaultParagraphFont"/>
    <w:link w:val="Quote"/>
    <w:uiPriority w:val="29"/>
    <w:rsid w:val="001C07E2"/>
    <w:rPr>
      <w:i/>
      <w:iCs/>
      <w:color w:val="404040" w:themeColor="text1" w:themeTint="BF"/>
    </w:rPr>
  </w:style>
  <w:style w:type="paragraph" w:styleId="ListParagraph">
    <w:name w:val="List Paragraph"/>
    <w:basedOn w:val="Normal"/>
    <w:link w:val="ListParagraphChar"/>
    <w:uiPriority w:val="99"/>
    <w:qFormat/>
    <w:rsid w:val="001C07E2"/>
    <w:pPr>
      <w:ind w:left="720"/>
      <w:contextualSpacing/>
    </w:pPr>
  </w:style>
  <w:style w:type="character" w:styleId="IntenseEmphasis">
    <w:name w:val="Intense Emphasis"/>
    <w:basedOn w:val="DefaultParagraphFont"/>
    <w:uiPriority w:val="21"/>
    <w:qFormat/>
    <w:rsid w:val="001C07E2"/>
    <w:rPr>
      <w:i/>
      <w:iCs/>
      <w:color w:val="0F4761" w:themeColor="accent1" w:themeShade="BF"/>
    </w:rPr>
  </w:style>
  <w:style w:type="paragraph" w:styleId="IntenseQuote">
    <w:name w:val="Intense Quote"/>
    <w:basedOn w:val="Normal"/>
    <w:next w:val="Normal"/>
    <w:link w:val="IntenseQuoteChar"/>
    <w:uiPriority w:val="30"/>
    <w:qFormat/>
    <w:rsid w:val="001C0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7E2"/>
    <w:rPr>
      <w:i/>
      <w:iCs/>
      <w:color w:val="0F4761" w:themeColor="accent1" w:themeShade="BF"/>
    </w:rPr>
  </w:style>
  <w:style w:type="character" w:styleId="IntenseReference">
    <w:name w:val="Intense Reference"/>
    <w:basedOn w:val="DefaultParagraphFont"/>
    <w:uiPriority w:val="32"/>
    <w:qFormat/>
    <w:rsid w:val="001C07E2"/>
    <w:rPr>
      <w:b/>
      <w:bCs/>
      <w:smallCaps/>
      <w:color w:val="0F4761" w:themeColor="accent1" w:themeShade="BF"/>
      <w:spacing w:val="5"/>
    </w:rPr>
  </w:style>
  <w:style w:type="paragraph" w:customStyle="1" w:styleId="Sub-Bullets">
    <w:name w:val="Sub-Bullets"/>
    <w:basedOn w:val="ListParagraph"/>
    <w:uiPriority w:val="4"/>
    <w:qFormat/>
    <w:rsid w:val="001C07E2"/>
    <w:pPr>
      <w:numPr>
        <w:numId w:val="1"/>
      </w:numPr>
      <w:ind w:left="1287"/>
      <w:contextualSpacing w:val="0"/>
    </w:pPr>
  </w:style>
  <w:style w:type="character" w:styleId="CommentReference">
    <w:name w:val="annotation reference"/>
    <w:basedOn w:val="DefaultParagraphFont"/>
    <w:uiPriority w:val="99"/>
    <w:semiHidden/>
    <w:unhideWhenUsed/>
    <w:rsid w:val="001C07E2"/>
    <w:rPr>
      <w:sz w:val="16"/>
      <w:szCs w:val="16"/>
    </w:rPr>
  </w:style>
  <w:style w:type="character" w:customStyle="1" w:styleId="ListParagraphChar">
    <w:name w:val="List Paragraph Char"/>
    <w:basedOn w:val="DefaultParagraphFont"/>
    <w:link w:val="ListParagraph"/>
    <w:uiPriority w:val="99"/>
    <w:rsid w:val="001C07E2"/>
  </w:style>
  <w:style w:type="paragraph" w:customStyle="1" w:styleId="Bullets">
    <w:name w:val="Bullets"/>
    <w:basedOn w:val="Sub-Bullets"/>
    <w:link w:val="BulletsChar"/>
    <w:uiPriority w:val="2"/>
    <w:qFormat/>
    <w:rsid w:val="001C07E2"/>
    <w:pPr>
      <w:numPr>
        <w:numId w:val="5"/>
      </w:numPr>
      <w:ind w:left="1134" w:hanging="567"/>
    </w:pPr>
  </w:style>
  <w:style w:type="character" w:customStyle="1" w:styleId="BulletsChar">
    <w:name w:val="Bullets Char"/>
    <w:basedOn w:val="DefaultParagraphFont"/>
    <w:link w:val="Bullets"/>
    <w:uiPriority w:val="2"/>
    <w:rsid w:val="001C07E2"/>
    <w:rPr>
      <w:rFonts w:ascii="Arial" w:hAnsi="Arial" w:cs="Arial"/>
      <w:kern w:val="0"/>
      <w:lang w:eastAsia="en-GB"/>
      <w14:ligatures w14:val="none"/>
    </w:rPr>
  </w:style>
  <w:style w:type="paragraph" w:styleId="FootnoteText">
    <w:name w:val="footnote text"/>
    <w:basedOn w:val="Normal"/>
    <w:link w:val="FootnoteTextChar"/>
    <w:uiPriority w:val="99"/>
    <w:semiHidden/>
    <w:unhideWhenUsed/>
    <w:rsid w:val="001C07E2"/>
    <w:rPr>
      <w:sz w:val="20"/>
      <w:szCs w:val="20"/>
    </w:rPr>
  </w:style>
  <w:style w:type="character" w:customStyle="1" w:styleId="FootnoteTextChar">
    <w:name w:val="Footnote Text Char"/>
    <w:basedOn w:val="DefaultParagraphFont"/>
    <w:link w:val="FootnoteText"/>
    <w:uiPriority w:val="99"/>
    <w:semiHidden/>
    <w:rsid w:val="001C07E2"/>
    <w:rPr>
      <w:rFonts w:ascii="Arial" w:hAnsi="Arial" w:cs="Arial"/>
      <w:kern w:val="0"/>
      <w:sz w:val="20"/>
      <w:szCs w:val="20"/>
      <w:lang w:eastAsia="en-GB"/>
      <w14:ligatures w14:val="none"/>
    </w:rPr>
  </w:style>
  <w:style w:type="character" w:styleId="FootnoteReference">
    <w:name w:val="footnote reference"/>
    <w:basedOn w:val="DefaultParagraphFont"/>
    <w:uiPriority w:val="99"/>
    <w:semiHidden/>
    <w:unhideWhenUsed/>
    <w:rsid w:val="001C07E2"/>
    <w:rPr>
      <w:vertAlign w:val="superscript"/>
    </w:rPr>
  </w:style>
  <w:style w:type="character" w:customStyle="1" w:styleId="normaltextrun">
    <w:name w:val="normaltextrun"/>
    <w:basedOn w:val="DefaultParagraphFont"/>
    <w:rsid w:val="001C07E2"/>
  </w:style>
  <w:style w:type="paragraph" w:customStyle="1" w:styleId="paragraph">
    <w:name w:val="paragraph"/>
    <w:basedOn w:val="Normal"/>
    <w:rsid w:val="001C07E2"/>
    <w:pPr>
      <w:spacing w:before="100" w:beforeAutospacing="1" w:after="100" w:afterAutospacing="1"/>
      <w:ind w:left="0"/>
    </w:pPr>
    <w:rPr>
      <w:rFonts w:ascii="Times New Roman" w:eastAsia="Times New Roman" w:hAnsi="Times New Roman" w:cs="Times New Roman"/>
      <w:sz w:val="24"/>
      <w:szCs w:val="24"/>
    </w:rPr>
  </w:style>
  <w:style w:type="table" w:customStyle="1" w:styleId="GridTable4-Accent52">
    <w:name w:val="Grid Table 4 - Accent 52"/>
    <w:basedOn w:val="TableNormal"/>
    <w:next w:val="GridTable4-Accent5"/>
    <w:uiPriority w:val="49"/>
    <w:rsid w:val="001C07E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msonormal">
    <w:name w:val="x_msonormal"/>
    <w:basedOn w:val="Normal"/>
    <w:rsid w:val="001C07E2"/>
    <w:pPr>
      <w:ind w:left="0"/>
    </w:pPr>
    <w:rPr>
      <w:rFonts w:ascii="Calibri" w:hAnsi="Calibri" w:cs="Calibri"/>
    </w:rPr>
  </w:style>
  <w:style w:type="table" w:styleId="GridTable4-Accent5">
    <w:name w:val="Grid Table 4 Accent 5"/>
    <w:basedOn w:val="TableNormal"/>
    <w:uiPriority w:val="49"/>
    <w:rsid w:val="001C07E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Bootle</dc:creator>
  <cp:keywords/>
  <dc:description/>
  <cp:lastModifiedBy>Anna Bootle</cp:lastModifiedBy>
  <cp:revision>2</cp:revision>
  <dcterms:created xsi:type="dcterms:W3CDTF">2024-10-21T09:21:00Z</dcterms:created>
  <dcterms:modified xsi:type="dcterms:W3CDTF">2024-10-21T09:55:00Z</dcterms:modified>
</cp:coreProperties>
</file>